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5DE6" w:rsidRDefault="00FF5DE6" w:rsidP="00FF5DE6">
      <w:pPr>
        <w:pStyle w:val="NormalWeb"/>
        <w:shd w:val="clear" w:color="auto" w:fill="FFFFFF"/>
        <w:spacing w:before="0" w:beforeAutospacing="0" w:after="0" w:afterAutospacing="0" w:line="324" w:lineRule="atLeast"/>
        <w:rPr>
          <w:color w:val="1A1A1A"/>
          <w:sz w:val="23"/>
          <w:szCs w:val="23"/>
        </w:rPr>
      </w:pPr>
      <w:r>
        <w:rPr>
          <w:rStyle w:val="Forte"/>
          <w:color w:val="1A1A1A"/>
          <w:sz w:val="23"/>
          <w:szCs w:val="23"/>
        </w:rPr>
        <w:t xml:space="preserve">1. Prisão civil/alimentos </w:t>
      </w:r>
      <w:proofErr w:type="spellStart"/>
      <w:r>
        <w:rPr>
          <w:rStyle w:val="Forte"/>
          <w:color w:val="1A1A1A"/>
          <w:sz w:val="23"/>
          <w:szCs w:val="23"/>
        </w:rPr>
        <w:t>avoengos</w:t>
      </w:r>
      <w:proofErr w:type="spellEnd"/>
      <w:r>
        <w:rPr>
          <w:color w:val="1A1A1A"/>
          <w:sz w:val="23"/>
          <w:szCs w:val="23"/>
        </w:rPr>
        <w:br/>
      </w:r>
      <w:proofErr w:type="gramStart"/>
      <w:r>
        <w:rPr>
          <w:color w:val="1A1A1A"/>
          <w:sz w:val="23"/>
          <w:szCs w:val="23"/>
        </w:rPr>
        <w:t>“</w:t>
      </w:r>
      <w:proofErr w:type="gramEnd"/>
      <w:r>
        <w:rPr>
          <w:color w:val="1A1A1A"/>
          <w:sz w:val="23"/>
          <w:szCs w:val="23"/>
        </w:rPr>
        <w:t xml:space="preserve">Deve o magistrado, em sede de execução de alimentos </w:t>
      </w:r>
      <w:proofErr w:type="spellStart"/>
      <w:r>
        <w:rPr>
          <w:color w:val="1A1A1A"/>
          <w:sz w:val="23"/>
          <w:szCs w:val="23"/>
        </w:rPr>
        <w:t>avoengos</w:t>
      </w:r>
      <w:proofErr w:type="spellEnd"/>
      <w:r>
        <w:rPr>
          <w:color w:val="1A1A1A"/>
          <w:sz w:val="23"/>
          <w:szCs w:val="23"/>
        </w:rPr>
        <w:t>, analisar as condições do(s) devedor(</w:t>
      </w:r>
      <w:proofErr w:type="spellStart"/>
      <w:r>
        <w:rPr>
          <w:color w:val="1A1A1A"/>
          <w:sz w:val="23"/>
          <w:szCs w:val="23"/>
        </w:rPr>
        <w:t>es</w:t>
      </w:r>
      <w:proofErr w:type="spellEnd"/>
      <w:r>
        <w:rPr>
          <w:color w:val="1A1A1A"/>
          <w:sz w:val="23"/>
          <w:szCs w:val="23"/>
        </w:rPr>
        <w:t xml:space="preserve">), podendo aplicar medida coercitiva diversa da prisão civil ou determinar seu cumprimento em modalidade diversa do regime fechado (prisão em regime aberto ou prisão domiciliar) se o executado comprovar situações que </w:t>
      </w:r>
      <w:proofErr w:type="spellStart"/>
      <w:r>
        <w:rPr>
          <w:color w:val="1A1A1A"/>
          <w:sz w:val="23"/>
          <w:szCs w:val="23"/>
        </w:rPr>
        <w:t>contraindiquem</w:t>
      </w:r>
      <w:proofErr w:type="spellEnd"/>
      <w:r>
        <w:rPr>
          <w:color w:val="1A1A1A"/>
          <w:sz w:val="23"/>
          <w:szCs w:val="23"/>
        </w:rPr>
        <w:t xml:space="preserve"> o rigor na aplicação desse meio executivo e o torne atentatório à sua dignidade, como corolário do princípio de proteção aos idosos e garantia à vida.”</w:t>
      </w:r>
      <w:r>
        <w:rPr>
          <w:color w:val="1A1A1A"/>
          <w:sz w:val="23"/>
          <w:szCs w:val="23"/>
        </w:rPr>
        <w:br/>
      </w:r>
      <w:r>
        <w:rPr>
          <w:rStyle w:val="nfase"/>
          <w:color w:val="1A1A1A"/>
          <w:sz w:val="23"/>
          <w:szCs w:val="23"/>
        </w:rPr>
        <w:t>Proposta original: aprovada, por maioria (48 votos).</w:t>
      </w:r>
    </w:p>
    <w:p w:rsidR="00FF5DE6" w:rsidRDefault="00FF5DE6" w:rsidP="00FF5DE6">
      <w:pPr>
        <w:pStyle w:val="NormalWeb"/>
        <w:shd w:val="clear" w:color="auto" w:fill="FFFFFF"/>
        <w:spacing w:before="0" w:beforeAutospacing="0" w:after="0" w:afterAutospacing="0" w:line="324" w:lineRule="atLeast"/>
        <w:rPr>
          <w:color w:val="1A1A1A"/>
          <w:sz w:val="23"/>
          <w:szCs w:val="23"/>
        </w:rPr>
      </w:pPr>
      <w:r>
        <w:rPr>
          <w:rStyle w:val="Forte"/>
          <w:color w:val="1A1A1A"/>
          <w:sz w:val="23"/>
          <w:szCs w:val="23"/>
        </w:rPr>
        <w:t>2. Inventário extrajudicial com testamento</w:t>
      </w:r>
      <w:r>
        <w:rPr>
          <w:color w:val="1A1A1A"/>
          <w:sz w:val="23"/>
          <w:szCs w:val="23"/>
        </w:rPr>
        <w:br/>
      </w:r>
      <w:proofErr w:type="gramStart"/>
      <w:r>
        <w:rPr>
          <w:color w:val="1A1A1A"/>
          <w:sz w:val="23"/>
          <w:szCs w:val="23"/>
        </w:rPr>
        <w:t>“</w:t>
      </w:r>
      <w:proofErr w:type="gramEnd"/>
      <w:r>
        <w:rPr>
          <w:color w:val="1A1A1A"/>
          <w:sz w:val="23"/>
          <w:szCs w:val="23"/>
        </w:rPr>
        <w:t>Após registrado judicialmente o testamento e sendo todos os interessados capazes e concordes com os seus termos, não havendo conflito de interesses, é possível que se faça o inventário extrajudicial”.</w:t>
      </w:r>
      <w:r>
        <w:rPr>
          <w:color w:val="1A1A1A"/>
          <w:sz w:val="23"/>
          <w:szCs w:val="23"/>
        </w:rPr>
        <w:br/>
      </w:r>
      <w:r>
        <w:rPr>
          <w:rStyle w:val="nfase"/>
          <w:color w:val="1A1A1A"/>
          <w:sz w:val="23"/>
          <w:szCs w:val="23"/>
        </w:rPr>
        <w:t>Proposta com nova redação: aprovada, por maioria (42 votos).</w:t>
      </w:r>
    </w:p>
    <w:p w:rsidR="00FF5DE6" w:rsidRDefault="00FF5DE6" w:rsidP="00FF5DE6">
      <w:pPr>
        <w:pStyle w:val="NormalWeb"/>
        <w:shd w:val="clear" w:color="auto" w:fill="FFFFFF"/>
        <w:spacing w:before="0" w:beforeAutospacing="0" w:after="0" w:afterAutospacing="0" w:line="324" w:lineRule="atLeast"/>
        <w:rPr>
          <w:color w:val="1A1A1A"/>
          <w:sz w:val="23"/>
          <w:szCs w:val="23"/>
        </w:rPr>
      </w:pPr>
      <w:r>
        <w:rPr>
          <w:rStyle w:val="Forte"/>
          <w:color w:val="1A1A1A"/>
          <w:sz w:val="23"/>
          <w:szCs w:val="23"/>
        </w:rPr>
        <w:t>3. Casamento entre pessoas do mesmo sexo</w:t>
      </w:r>
      <w:r>
        <w:rPr>
          <w:color w:val="1A1A1A"/>
          <w:sz w:val="23"/>
          <w:szCs w:val="23"/>
        </w:rPr>
        <w:br/>
      </w:r>
      <w:proofErr w:type="gramStart"/>
      <w:r>
        <w:rPr>
          <w:color w:val="1A1A1A"/>
          <w:sz w:val="23"/>
          <w:szCs w:val="23"/>
        </w:rPr>
        <w:t>“</w:t>
      </w:r>
      <w:proofErr w:type="gramEnd"/>
      <w:r>
        <w:rPr>
          <w:color w:val="1A1A1A"/>
          <w:sz w:val="23"/>
          <w:szCs w:val="23"/>
        </w:rPr>
        <w:t>É existente e válido o casamento entre pessoas do mesmo sexo”.</w:t>
      </w:r>
      <w:r>
        <w:rPr>
          <w:color w:val="1A1A1A"/>
          <w:sz w:val="23"/>
          <w:szCs w:val="23"/>
        </w:rPr>
        <w:br/>
      </w:r>
      <w:r>
        <w:rPr>
          <w:rStyle w:val="nfase"/>
          <w:color w:val="1A1A1A"/>
          <w:sz w:val="23"/>
          <w:szCs w:val="23"/>
        </w:rPr>
        <w:t>Proposta com nova redação: aprovada, por maioria (40 votos)</w:t>
      </w:r>
    </w:p>
    <w:p w:rsidR="00FF5DE6" w:rsidRDefault="00FF5DE6" w:rsidP="00FF5DE6">
      <w:pPr>
        <w:pStyle w:val="NormalWeb"/>
        <w:shd w:val="clear" w:color="auto" w:fill="FFFFFF"/>
        <w:spacing w:before="0" w:beforeAutospacing="0" w:after="0" w:afterAutospacing="0" w:line="324" w:lineRule="atLeast"/>
        <w:rPr>
          <w:color w:val="1A1A1A"/>
          <w:sz w:val="23"/>
          <w:szCs w:val="23"/>
        </w:rPr>
      </w:pPr>
      <w:r>
        <w:rPr>
          <w:rStyle w:val="Forte"/>
          <w:color w:val="1A1A1A"/>
          <w:sz w:val="23"/>
          <w:szCs w:val="23"/>
        </w:rPr>
        <w:t>4. Expedição de mandado de averbação de divórcio</w:t>
      </w:r>
      <w:r>
        <w:rPr>
          <w:color w:val="1A1A1A"/>
          <w:sz w:val="23"/>
          <w:szCs w:val="23"/>
        </w:rPr>
        <w:br/>
        <w:t xml:space="preserve">“Transitada em julgado </w:t>
      </w:r>
      <w:proofErr w:type="gramStart"/>
      <w:r>
        <w:rPr>
          <w:color w:val="1A1A1A"/>
          <w:sz w:val="23"/>
          <w:szCs w:val="23"/>
        </w:rPr>
        <w:t>a</w:t>
      </w:r>
      <w:proofErr w:type="gramEnd"/>
      <w:r>
        <w:rPr>
          <w:color w:val="1A1A1A"/>
          <w:sz w:val="23"/>
          <w:szCs w:val="23"/>
        </w:rPr>
        <w:t xml:space="preserve"> decisão concessiva do divórcio, a expedição do mandado de averbação independe do julgamento da ação originária em que persista a discussão dos aspectos decorrentes da dissolução do casamento”.</w:t>
      </w:r>
      <w:r>
        <w:rPr>
          <w:color w:val="1A1A1A"/>
          <w:sz w:val="23"/>
          <w:szCs w:val="23"/>
        </w:rPr>
        <w:br/>
      </w:r>
      <w:r>
        <w:rPr>
          <w:rStyle w:val="nfase"/>
          <w:color w:val="1A1A1A"/>
          <w:sz w:val="23"/>
          <w:szCs w:val="23"/>
        </w:rPr>
        <w:t>Proposta com nova redação: aprovada, por maioria (56 votos)</w:t>
      </w:r>
      <w:r>
        <w:rPr>
          <w:color w:val="1A1A1A"/>
          <w:sz w:val="23"/>
          <w:szCs w:val="23"/>
        </w:rPr>
        <w:t>.</w:t>
      </w:r>
    </w:p>
    <w:p w:rsidR="00FF5DE6" w:rsidRDefault="00FF5DE6" w:rsidP="00FF5DE6">
      <w:pPr>
        <w:pStyle w:val="NormalWeb"/>
        <w:shd w:val="clear" w:color="auto" w:fill="FFFFFF"/>
        <w:spacing w:before="0" w:beforeAutospacing="0" w:after="0" w:afterAutospacing="0" w:line="324" w:lineRule="atLeast"/>
        <w:rPr>
          <w:color w:val="1A1A1A"/>
          <w:sz w:val="23"/>
          <w:szCs w:val="23"/>
        </w:rPr>
      </w:pPr>
      <w:r>
        <w:rPr>
          <w:rStyle w:val="Forte"/>
          <w:color w:val="1A1A1A"/>
          <w:sz w:val="23"/>
          <w:szCs w:val="23"/>
        </w:rPr>
        <w:t>5. Guarda compartilhada/divisão do tempo</w:t>
      </w:r>
      <w:r>
        <w:rPr>
          <w:color w:val="1A1A1A"/>
          <w:sz w:val="23"/>
          <w:szCs w:val="23"/>
        </w:rPr>
        <w:br/>
      </w:r>
      <w:proofErr w:type="gramStart"/>
      <w:r>
        <w:rPr>
          <w:color w:val="1A1A1A"/>
          <w:sz w:val="23"/>
          <w:szCs w:val="23"/>
        </w:rPr>
        <w:t>“</w:t>
      </w:r>
      <w:proofErr w:type="gramEnd"/>
      <w:r>
        <w:rPr>
          <w:color w:val="1A1A1A"/>
          <w:sz w:val="23"/>
          <w:szCs w:val="23"/>
        </w:rPr>
        <w:t>A distribuição do tempo de convívio na guarda compartilhada deve atender precipuamente ao melhor interesse dos filhos, não devendo a divisão de forma equilibrada, a que alude o § 2˚ do art. 1.583, do Código Civil, representar convivência livre ou, ao contrário, repartição de tempo matematicamente igualitária entre os pais”.</w:t>
      </w:r>
      <w:r>
        <w:rPr>
          <w:color w:val="1A1A1A"/>
          <w:sz w:val="23"/>
          <w:szCs w:val="23"/>
        </w:rPr>
        <w:br/>
      </w:r>
      <w:r>
        <w:rPr>
          <w:rStyle w:val="nfase"/>
          <w:color w:val="1A1A1A"/>
          <w:sz w:val="23"/>
          <w:szCs w:val="23"/>
        </w:rPr>
        <w:t>Proposta com nova redação: aprovada, por maioria (54 votos)</w:t>
      </w:r>
      <w:r>
        <w:rPr>
          <w:color w:val="1A1A1A"/>
          <w:sz w:val="23"/>
          <w:szCs w:val="23"/>
        </w:rPr>
        <w:t>.</w:t>
      </w:r>
    </w:p>
    <w:p w:rsidR="00FF5DE6" w:rsidRDefault="00FF5DE6" w:rsidP="00FF5DE6">
      <w:pPr>
        <w:pStyle w:val="NormalWeb"/>
        <w:shd w:val="clear" w:color="auto" w:fill="FFFFFF"/>
        <w:spacing w:before="0" w:beforeAutospacing="0" w:after="0" w:afterAutospacing="0" w:line="324" w:lineRule="atLeast"/>
        <w:rPr>
          <w:color w:val="1A1A1A"/>
          <w:sz w:val="23"/>
          <w:szCs w:val="23"/>
        </w:rPr>
      </w:pPr>
      <w:r>
        <w:rPr>
          <w:rStyle w:val="Forte"/>
          <w:color w:val="1A1A1A"/>
          <w:sz w:val="23"/>
          <w:szCs w:val="23"/>
        </w:rPr>
        <w:t xml:space="preserve">6. </w:t>
      </w:r>
      <w:proofErr w:type="gramStart"/>
      <w:r>
        <w:rPr>
          <w:rStyle w:val="Forte"/>
          <w:color w:val="1A1A1A"/>
          <w:sz w:val="23"/>
          <w:szCs w:val="23"/>
        </w:rPr>
        <w:t>Guarda compartilhada/divisão do tempo</w:t>
      </w:r>
      <w:r>
        <w:rPr>
          <w:color w:val="1A1A1A"/>
          <w:sz w:val="23"/>
          <w:szCs w:val="23"/>
        </w:rPr>
        <w:br/>
        <w:t>A divisão, de forma equilibrada, do tempo de convívio dos filhos com a mãe e com o pai, imposta na guarda compartilhada pelo § 2° do artigo 1.583 do Código Civil, não deve ser confundida com a imposição do tempo previsto pelo instituto da guarda alternada, pois esta não implica apenas a divisão do tempo de permanência dos filhos com os pais, mas também o exercício exclusivo da guarda pelo genitor que se encontra na companhia do filho”</w:t>
      </w:r>
      <w:proofErr w:type="gramEnd"/>
      <w:r>
        <w:rPr>
          <w:color w:val="1A1A1A"/>
          <w:sz w:val="23"/>
          <w:szCs w:val="23"/>
        </w:rPr>
        <w:t>.</w:t>
      </w:r>
      <w:r>
        <w:rPr>
          <w:color w:val="1A1A1A"/>
          <w:sz w:val="23"/>
          <w:szCs w:val="23"/>
        </w:rPr>
        <w:br/>
      </w:r>
      <w:r>
        <w:rPr>
          <w:rStyle w:val="nfase"/>
          <w:color w:val="1A1A1A"/>
          <w:sz w:val="23"/>
          <w:szCs w:val="23"/>
        </w:rPr>
        <w:t>Proposta com nova redação: aprovada, por maioria (50 votos)</w:t>
      </w:r>
      <w:r>
        <w:rPr>
          <w:color w:val="1A1A1A"/>
          <w:sz w:val="23"/>
          <w:szCs w:val="23"/>
        </w:rPr>
        <w:t>.</w:t>
      </w:r>
    </w:p>
    <w:p w:rsidR="00FF5DE6" w:rsidRDefault="00FF5DE6" w:rsidP="00FF5DE6">
      <w:pPr>
        <w:pStyle w:val="NormalWeb"/>
        <w:shd w:val="clear" w:color="auto" w:fill="FFFFFF"/>
        <w:spacing w:before="0" w:beforeAutospacing="0" w:after="0" w:afterAutospacing="0" w:line="324" w:lineRule="atLeast"/>
        <w:rPr>
          <w:color w:val="1A1A1A"/>
          <w:sz w:val="23"/>
          <w:szCs w:val="23"/>
        </w:rPr>
      </w:pPr>
      <w:r>
        <w:rPr>
          <w:rStyle w:val="Forte"/>
          <w:color w:val="1A1A1A"/>
          <w:sz w:val="23"/>
          <w:szCs w:val="23"/>
        </w:rPr>
        <w:t>7. Direito de visitas na guarda compartilhada</w:t>
      </w:r>
      <w:r>
        <w:rPr>
          <w:color w:val="1A1A1A"/>
          <w:sz w:val="23"/>
          <w:szCs w:val="23"/>
        </w:rPr>
        <w:br/>
      </w:r>
      <w:proofErr w:type="gramStart"/>
      <w:r>
        <w:rPr>
          <w:color w:val="1A1A1A"/>
          <w:sz w:val="23"/>
          <w:szCs w:val="23"/>
        </w:rPr>
        <w:t>“</w:t>
      </w:r>
      <w:proofErr w:type="gramEnd"/>
      <w:r>
        <w:rPr>
          <w:color w:val="1A1A1A"/>
          <w:sz w:val="23"/>
          <w:szCs w:val="23"/>
        </w:rPr>
        <w:t>A guarda compartilhada não exclui a fixação do regime de convivência”.</w:t>
      </w:r>
      <w:r>
        <w:rPr>
          <w:color w:val="1A1A1A"/>
          <w:sz w:val="23"/>
          <w:szCs w:val="23"/>
        </w:rPr>
        <w:br/>
      </w:r>
      <w:r>
        <w:rPr>
          <w:rStyle w:val="nfase"/>
          <w:color w:val="1A1A1A"/>
          <w:sz w:val="23"/>
          <w:szCs w:val="23"/>
        </w:rPr>
        <w:t>Proposta com nova redação: aprovada, por maioria (51 votos)</w:t>
      </w:r>
      <w:r>
        <w:rPr>
          <w:color w:val="1A1A1A"/>
          <w:sz w:val="23"/>
          <w:szCs w:val="23"/>
        </w:rPr>
        <w:t>.</w:t>
      </w:r>
    </w:p>
    <w:p w:rsidR="00FF5DE6" w:rsidRDefault="00FF5DE6" w:rsidP="00FF5DE6">
      <w:pPr>
        <w:pStyle w:val="NormalWeb"/>
        <w:shd w:val="clear" w:color="auto" w:fill="FFFFFF"/>
        <w:spacing w:before="0" w:beforeAutospacing="0" w:after="0" w:afterAutospacing="0" w:line="324" w:lineRule="atLeast"/>
        <w:rPr>
          <w:color w:val="1A1A1A"/>
          <w:sz w:val="23"/>
          <w:szCs w:val="23"/>
        </w:rPr>
      </w:pPr>
      <w:r>
        <w:rPr>
          <w:rStyle w:val="Forte"/>
          <w:color w:val="1A1A1A"/>
          <w:sz w:val="23"/>
          <w:szCs w:val="23"/>
        </w:rPr>
        <w:t>8. Guarda compartilhada/divisão do tempo</w:t>
      </w:r>
      <w:r>
        <w:rPr>
          <w:color w:val="1A1A1A"/>
          <w:sz w:val="23"/>
          <w:szCs w:val="23"/>
        </w:rPr>
        <w:br/>
      </w:r>
      <w:proofErr w:type="gramStart"/>
      <w:r>
        <w:rPr>
          <w:color w:val="1A1A1A"/>
          <w:sz w:val="23"/>
          <w:szCs w:val="23"/>
        </w:rPr>
        <w:t>“</w:t>
      </w:r>
      <w:proofErr w:type="gramEnd"/>
      <w:r>
        <w:rPr>
          <w:color w:val="1A1A1A"/>
          <w:sz w:val="23"/>
          <w:szCs w:val="23"/>
        </w:rPr>
        <w:t>O tempo de convívio com os filhos deve ser dividido de forma equilibrada com a mãe e com o pai” deve ser entendido como divisão proporcional de tempo, da forma que cada genitor possa se ocupar dos cuidados pertinentes ao filho, em razão das peculiaridades da vida privada de cada um”.</w:t>
      </w:r>
      <w:r>
        <w:rPr>
          <w:color w:val="1A1A1A"/>
          <w:sz w:val="23"/>
          <w:szCs w:val="23"/>
        </w:rPr>
        <w:br/>
      </w:r>
      <w:r>
        <w:rPr>
          <w:rStyle w:val="nfase"/>
          <w:color w:val="1A1A1A"/>
          <w:sz w:val="23"/>
          <w:szCs w:val="23"/>
        </w:rPr>
        <w:t>Proposta com nova redação: aprovada, por maioria (39 votos)</w:t>
      </w:r>
      <w:r>
        <w:rPr>
          <w:color w:val="1A1A1A"/>
          <w:sz w:val="23"/>
          <w:szCs w:val="23"/>
        </w:rPr>
        <w:t>.</w:t>
      </w:r>
    </w:p>
    <w:p w:rsidR="00FF5DE6" w:rsidRDefault="00FF5DE6" w:rsidP="00FF5DE6">
      <w:pPr>
        <w:pStyle w:val="NormalWeb"/>
        <w:shd w:val="clear" w:color="auto" w:fill="FFFFFF"/>
        <w:spacing w:before="0" w:beforeAutospacing="0" w:after="0" w:afterAutospacing="0" w:line="324" w:lineRule="atLeast"/>
        <w:rPr>
          <w:color w:val="1A1A1A"/>
          <w:sz w:val="23"/>
          <w:szCs w:val="23"/>
        </w:rPr>
      </w:pPr>
      <w:r>
        <w:rPr>
          <w:rStyle w:val="Forte"/>
          <w:color w:val="1A1A1A"/>
          <w:sz w:val="23"/>
          <w:szCs w:val="23"/>
        </w:rPr>
        <w:lastRenderedPageBreak/>
        <w:t>9. Guarda compartilhada/alimentos</w:t>
      </w:r>
      <w:r>
        <w:rPr>
          <w:color w:val="1A1A1A"/>
          <w:sz w:val="23"/>
          <w:szCs w:val="23"/>
        </w:rPr>
        <w:br/>
        <w:t> “A guarda compartilhada não implica ausência de pagamento de pensão alimentícia”.</w:t>
      </w:r>
      <w:r>
        <w:rPr>
          <w:color w:val="1A1A1A"/>
          <w:sz w:val="23"/>
          <w:szCs w:val="23"/>
        </w:rPr>
        <w:br/>
      </w:r>
      <w:r>
        <w:rPr>
          <w:rStyle w:val="nfase"/>
          <w:color w:val="1A1A1A"/>
          <w:sz w:val="23"/>
          <w:szCs w:val="23"/>
        </w:rPr>
        <w:t>Proposta com nova redação: aprovada, por maioria (55 votos)</w:t>
      </w:r>
      <w:r>
        <w:rPr>
          <w:color w:val="1A1A1A"/>
          <w:sz w:val="23"/>
          <w:szCs w:val="23"/>
        </w:rPr>
        <w:t>.</w:t>
      </w:r>
    </w:p>
    <w:p w:rsidR="00FF5DE6" w:rsidRDefault="00FF5DE6" w:rsidP="00FF5DE6">
      <w:pPr>
        <w:pStyle w:val="NormalWeb"/>
        <w:shd w:val="clear" w:color="auto" w:fill="FFFFFF"/>
        <w:spacing w:before="0" w:beforeAutospacing="0" w:after="0" w:afterAutospacing="0" w:line="324" w:lineRule="atLeast"/>
        <w:rPr>
          <w:color w:val="1A1A1A"/>
          <w:sz w:val="23"/>
          <w:szCs w:val="23"/>
        </w:rPr>
      </w:pPr>
      <w:r>
        <w:rPr>
          <w:rStyle w:val="Forte"/>
          <w:color w:val="1A1A1A"/>
          <w:sz w:val="23"/>
          <w:szCs w:val="23"/>
        </w:rPr>
        <w:t>10. Registro de nascimento</w:t>
      </w:r>
      <w:r>
        <w:rPr>
          <w:color w:val="1A1A1A"/>
          <w:sz w:val="23"/>
          <w:szCs w:val="23"/>
        </w:rPr>
        <w:br/>
      </w:r>
      <w:proofErr w:type="gramStart"/>
      <w:r>
        <w:rPr>
          <w:color w:val="1A1A1A"/>
          <w:sz w:val="23"/>
          <w:szCs w:val="23"/>
        </w:rPr>
        <w:t>“</w:t>
      </w:r>
      <w:proofErr w:type="gramEnd"/>
      <w:r>
        <w:rPr>
          <w:color w:val="1A1A1A"/>
          <w:sz w:val="23"/>
          <w:szCs w:val="23"/>
        </w:rPr>
        <w:t>É possível o registro de nascimento dos filhos de pessoas do mesmo sexo originários de reprodução assistida, diretamente no Cartório do Registro Civil, sendo dispensável a propositura de ação judicial, nos termos da regulamentação da Corregedoria local”.</w:t>
      </w:r>
      <w:r>
        <w:rPr>
          <w:color w:val="1A1A1A"/>
          <w:sz w:val="23"/>
          <w:szCs w:val="23"/>
        </w:rPr>
        <w:br/>
      </w:r>
      <w:r>
        <w:rPr>
          <w:rStyle w:val="nfase"/>
          <w:color w:val="1A1A1A"/>
          <w:sz w:val="23"/>
          <w:szCs w:val="23"/>
        </w:rPr>
        <w:t>Proposta com nova redação: aprovada, por maioria (42 votos).</w:t>
      </w:r>
    </w:p>
    <w:p w:rsidR="00FF5DE6" w:rsidRDefault="00FF5DE6" w:rsidP="00FF5DE6">
      <w:pPr>
        <w:pStyle w:val="NormalWeb"/>
        <w:shd w:val="clear" w:color="auto" w:fill="FFFFFF"/>
        <w:spacing w:before="0" w:beforeAutospacing="0" w:after="0" w:afterAutospacing="0" w:line="324" w:lineRule="atLeast"/>
        <w:rPr>
          <w:color w:val="1A1A1A"/>
          <w:sz w:val="23"/>
          <w:szCs w:val="23"/>
        </w:rPr>
      </w:pPr>
      <w:r>
        <w:rPr>
          <w:rStyle w:val="Forte"/>
          <w:color w:val="1A1A1A"/>
          <w:sz w:val="23"/>
          <w:szCs w:val="23"/>
        </w:rPr>
        <w:t>11. Concorrência do cônjuge supérstite com descendentes</w:t>
      </w:r>
      <w:r>
        <w:rPr>
          <w:color w:val="1A1A1A"/>
          <w:sz w:val="23"/>
          <w:szCs w:val="23"/>
        </w:rPr>
        <w:br/>
      </w:r>
      <w:proofErr w:type="gramStart"/>
      <w:r>
        <w:rPr>
          <w:color w:val="1A1A1A"/>
          <w:sz w:val="23"/>
          <w:szCs w:val="23"/>
        </w:rPr>
        <w:t>“</w:t>
      </w:r>
      <w:proofErr w:type="gramEnd"/>
      <w:r>
        <w:rPr>
          <w:color w:val="1A1A1A"/>
          <w:sz w:val="23"/>
          <w:szCs w:val="23"/>
        </w:rPr>
        <w:t>O regime de bens no casamento somente interfere na concorrência sucessória do cônjuge com descendentes do falecido”.</w:t>
      </w:r>
      <w:r>
        <w:rPr>
          <w:color w:val="1A1A1A"/>
          <w:sz w:val="23"/>
          <w:szCs w:val="23"/>
        </w:rPr>
        <w:br/>
      </w:r>
      <w:r>
        <w:rPr>
          <w:rStyle w:val="nfase"/>
          <w:color w:val="1A1A1A"/>
          <w:sz w:val="23"/>
          <w:szCs w:val="23"/>
        </w:rPr>
        <w:t>Proposta com nova redação: aprovada, por maioria (43 votos).</w:t>
      </w:r>
    </w:p>
    <w:p w:rsidR="00FF5DE6" w:rsidRDefault="00FF5DE6" w:rsidP="00FF5DE6">
      <w:pPr>
        <w:pStyle w:val="NormalWeb"/>
        <w:shd w:val="clear" w:color="auto" w:fill="FFFFFF"/>
        <w:spacing w:before="0" w:beforeAutospacing="0" w:after="0" w:afterAutospacing="0" w:line="324" w:lineRule="atLeast"/>
        <w:rPr>
          <w:color w:val="1A1A1A"/>
          <w:sz w:val="23"/>
          <w:szCs w:val="23"/>
        </w:rPr>
      </w:pPr>
      <w:r>
        <w:rPr>
          <w:rStyle w:val="Forte"/>
          <w:color w:val="1A1A1A"/>
          <w:sz w:val="23"/>
          <w:szCs w:val="23"/>
        </w:rPr>
        <w:t>12. Contrato de convivência</w:t>
      </w:r>
      <w:r>
        <w:rPr>
          <w:color w:val="1A1A1A"/>
          <w:sz w:val="23"/>
          <w:szCs w:val="23"/>
        </w:rPr>
        <w:br/>
      </w:r>
      <w:proofErr w:type="gramStart"/>
      <w:r>
        <w:rPr>
          <w:color w:val="1A1A1A"/>
          <w:sz w:val="23"/>
          <w:szCs w:val="23"/>
        </w:rPr>
        <w:t>“</w:t>
      </w:r>
      <w:proofErr w:type="gramEnd"/>
      <w:r>
        <w:rPr>
          <w:color w:val="1A1A1A"/>
          <w:sz w:val="23"/>
          <w:szCs w:val="23"/>
        </w:rPr>
        <w:t>O registro do contrato de convivência no Livro 3 do Cartório de Registro de Imóveis implica exigência de autorização do companheiro para realização de contratos de fiança e para a alienação ou a gravação de ônus real aos bens imóveis do casal,  salvo se o regime escolhido de bens for o de separação absoluta”.</w:t>
      </w:r>
      <w:r>
        <w:rPr>
          <w:color w:val="1A1A1A"/>
          <w:sz w:val="23"/>
          <w:szCs w:val="23"/>
        </w:rPr>
        <w:br/>
      </w:r>
      <w:r>
        <w:rPr>
          <w:rStyle w:val="nfase"/>
          <w:color w:val="1A1A1A"/>
          <w:sz w:val="23"/>
          <w:szCs w:val="23"/>
        </w:rPr>
        <w:t>Proposta com nova redação: aprovada, por maioria (41 votos)</w:t>
      </w:r>
      <w:r>
        <w:rPr>
          <w:color w:val="1A1A1A"/>
          <w:sz w:val="23"/>
          <w:szCs w:val="23"/>
        </w:rPr>
        <w:t>.</w:t>
      </w:r>
    </w:p>
    <w:p w:rsidR="00FF5DE6" w:rsidRDefault="00FF5DE6" w:rsidP="00FF5DE6">
      <w:pPr>
        <w:pStyle w:val="NormalWeb"/>
        <w:shd w:val="clear" w:color="auto" w:fill="FFFFFF"/>
        <w:spacing w:before="0" w:beforeAutospacing="0" w:after="0" w:afterAutospacing="0" w:line="324" w:lineRule="atLeast"/>
        <w:rPr>
          <w:color w:val="1A1A1A"/>
          <w:sz w:val="23"/>
          <w:szCs w:val="23"/>
        </w:rPr>
      </w:pPr>
      <w:r>
        <w:rPr>
          <w:rStyle w:val="Forte"/>
          <w:color w:val="1A1A1A"/>
          <w:sz w:val="23"/>
          <w:szCs w:val="23"/>
        </w:rPr>
        <w:t xml:space="preserve">13. Direito de representação na </w:t>
      </w:r>
      <w:proofErr w:type="spellStart"/>
      <w:r>
        <w:rPr>
          <w:rStyle w:val="Forte"/>
          <w:color w:val="1A1A1A"/>
          <w:sz w:val="23"/>
          <w:szCs w:val="23"/>
        </w:rPr>
        <w:t>comoriência</w:t>
      </w:r>
      <w:proofErr w:type="spellEnd"/>
      <w:r>
        <w:rPr>
          <w:color w:val="1A1A1A"/>
          <w:sz w:val="23"/>
          <w:szCs w:val="23"/>
        </w:rPr>
        <w:br/>
      </w:r>
      <w:proofErr w:type="gramStart"/>
      <w:r>
        <w:rPr>
          <w:color w:val="1A1A1A"/>
          <w:sz w:val="23"/>
          <w:szCs w:val="23"/>
        </w:rPr>
        <w:t>“</w:t>
      </w:r>
      <w:proofErr w:type="gramEnd"/>
      <w:r>
        <w:rPr>
          <w:color w:val="1A1A1A"/>
          <w:sz w:val="23"/>
          <w:szCs w:val="23"/>
        </w:rPr>
        <w:t xml:space="preserve">Nos casos de </w:t>
      </w:r>
      <w:proofErr w:type="spellStart"/>
      <w:r>
        <w:rPr>
          <w:color w:val="1A1A1A"/>
          <w:sz w:val="23"/>
          <w:szCs w:val="23"/>
        </w:rPr>
        <w:t>comoriência</w:t>
      </w:r>
      <w:proofErr w:type="spellEnd"/>
      <w:r>
        <w:rPr>
          <w:color w:val="1A1A1A"/>
          <w:sz w:val="23"/>
          <w:szCs w:val="23"/>
        </w:rPr>
        <w:t xml:space="preserve"> entre ascendente e descendente, ou entre irmãos, reconhece-se o direito de representação aos descendentes e aos filhos dos irmãos”. </w:t>
      </w:r>
      <w:r>
        <w:rPr>
          <w:color w:val="1A1A1A"/>
          <w:sz w:val="23"/>
          <w:szCs w:val="23"/>
        </w:rPr>
        <w:br/>
      </w:r>
      <w:r>
        <w:rPr>
          <w:rStyle w:val="nfase"/>
          <w:color w:val="1A1A1A"/>
          <w:sz w:val="23"/>
          <w:szCs w:val="23"/>
        </w:rPr>
        <w:t>Proposta com nova redação: aprovada, por maioria (43 votos).</w:t>
      </w:r>
    </w:p>
    <w:p w:rsidR="00FF5DE6" w:rsidRDefault="00FF5DE6" w:rsidP="00FF5DE6">
      <w:pPr>
        <w:pStyle w:val="NormalWeb"/>
        <w:shd w:val="clear" w:color="auto" w:fill="FFFFFF"/>
        <w:spacing w:before="0" w:beforeAutospacing="0" w:after="0" w:afterAutospacing="0" w:line="324" w:lineRule="atLeast"/>
        <w:rPr>
          <w:color w:val="1A1A1A"/>
          <w:sz w:val="23"/>
          <w:szCs w:val="23"/>
        </w:rPr>
      </w:pPr>
      <w:r>
        <w:rPr>
          <w:rStyle w:val="Forte"/>
          <w:color w:val="1A1A1A"/>
          <w:sz w:val="23"/>
          <w:szCs w:val="23"/>
        </w:rPr>
        <w:t xml:space="preserve">14. Testamento </w:t>
      </w:r>
      <w:proofErr w:type="spellStart"/>
      <w:r>
        <w:rPr>
          <w:rStyle w:val="Forte"/>
          <w:color w:val="1A1A1A"/>
          <w:sz w:val="23"/>
          <w:szCs w:val="23"/>
        </w:rPr>
        <w:t>hológrafo</w:t>
      </w:r>
      <w:proofErr w:type="spellEnd"/>
      <w:r>
        <w:rPr>
          <w:color w:val="1A1A1A"/>
          <w:sz w:val="23"/>
          <w:szCs w:val="23"/>
        </w:rPr>
        <w:br/>
      </w:r>
      <w:proofErr w:type="gramStart"/>
      <w:r>
        <w:rPr>
          <w:color w:val="1A1A1A"/>
          <w:sz w:val="23"/>
          <w:szCs w:val="23"/>
        </w:rPr>
        <w:t>“</w:t>
      </w:r>
      <w:proofErr w:type="gramEnd"/>
      <w:r>
        <w:rPr>
          <w:color w:val="1A1A1A"/>
          <w:sz w:val="23"/>
          <w:szCs w:val="23"/>
        </w:rPr>
        <w:t xml:space="preserve">O testamento </w:t>
      </w:r>
      <w:proofErr w:type="spellStart"/>
      <w:r>
        <w:rPr>
          <w:color w:val="1A1A1A"/>
          <w:sz w:val="23"/>
          <w:szCs w:val="23"/>
        </w:rPr>
        <w:t>hológrafo</w:t>
      </w:r>
      <w:proofErr w:type="spellEnd"/>
      <w:r>
        <w:rPr>
          <w:color w:val="1A1A1A"/>
          <w:sz w:val="23"/>
          <w:szCs w:val="23"/>
        </w:rPr>
        <w:t xml:space="preserve"> simplificado, previsto no art. 1.879 do Código Civil, perderá sua eficácia se, nos 90 dias </w:t>
      </w:r>
      <w:proofErr w:type="spellStart"/>
      <w:r>
        <w:rPr>
          <w:color w:val="1A1A1A"/>
          <w:sz w:val="23"/>
          <w:szCs w:val="23"/>
        </w:rPr>
        <w:t>subsequentes</w:t>
      </w:r>
      <w:proofErr w:type="spellEnd"/>
      <w:r>
        <w:rPr>
          <w:color w:val="1A1A1A"/>
          <w:sz w:val="23"/>
          <w:szCs w:val="23"/>
        </w:rPr>
        <w:t xml:space="preserve"> ao fim das circunstâncias excepcionais que autorizaram a sua confecção, o </w:t>
      </w:r>
      <w:proofErr w:type="spellStart"/>
      <w:r>
        <w:rPr>
          <w:color w:val="1A1A1A"/>
          <w:sz w:val="23"/>
          <w:szCs w:val="23"/>
        </w:rPr>
        <w:t>disponente</w:t>
      </w:r>
      <w:proofErr w:type="spellEnd"/>
      <w:r>
        <w:rPr>
          <w:color w:val="1A1A1A"/>
          <w:sz w:val="23"/>
          <w:szCs w:val="23"/>
        </w:rPr>
        <w:t>, podendo fazê-lo, não testar por uma das formas testamentárias ordinárias”.</w:t>
      </w:r>
      <w:r>
        <w:rPr>
          <w:color w:val="1A1A1A"/>
          <w:sz w:val="23"/>
          <w:szCs w:val="23"/>
        </w:rPr>
        <w:br/>
      </w:r>
      <w:r>
        <w:rPr>
          <w:rStyle w:val="nfase"/>
          <w:color w:val="1A1A1A"/>
          <w:sz w:val="23"/>
          <w:szCs w:val="23"/>
        </w:rPr>
        <w:t>Proposta com nova redação: aprovada, por maioria (52 votos).</w:t>
      </w:r>
    </w:p>
    <w:p w:rsidR="00FF5DE6" w:rsidRDefault="00FF5DE6" w:rsidP="00FF5DE6">
      <w:pPr>
        <w:pStyle w:val="NormalWeb"/>
        <w:shd w:val="clear" w:color="auto" w:fill="FFFFFF"/>
        <w:spacing w:before="0" w:beforeAutospacing="0" w:after="0" w:afterAutospacing="0" w:line="324" w:lineRule="atLeast"/>
        <w:rPr>
          <w:color w:val="1A1A1A"/>
          <w:sz w:val="23"/>
          <w:szCs w:val="23"/>
        </w:rPr>
      </w:pPr>
      <w:r>
        <w:rPr>
          <w:rStyle w:val="Forte"/>
          <w:color w:val="1A1A1A"/>
          <w:sz w:val="23"/>
          <w:szCs w:val="23"/>
        </w:rPr>
        <w:t>15. Anulação de partilha</w:t>
      </w:r>
      <w:r>
        <w:rPr>
          <w:color w:val="1A1A1A"/>
          <w:sz w:val="23"/>
          <w:szCs w:val="23"/>
        </w:rPr>
        <w:br/>
      </w:r>
      <w:proofErr w:type="gramStart"/>
      <w:r>
        <w:rPr>
          <w:color w:val="1A1A1A"/>
          <w:sz w:val="23"/>
          <w:szCs w:val="23"/>
        </w:rPr>
        <w:t>“</w:t>
      </w:r>
      <w:proofErr w:type="gramEnd"/>
      <w:r>
        <w:rPr>
          <w:color w:val="1A1A1A"/>
          <w:sz w:val="23"/>
          <w:szCs w:val="23"/>
        </w:rPr>
        <w:t>O prazo para exercer o direito de anular a partilha amigável judicial, decorrente de dissolução de sociedade conjugal ou de união estável, se extingue em 1 (um) ano da data do trânsito em julgado da sentença homologatória, consoante dispõem o artigo 2.027, parágrafo único do Código Civil de 2002 e o artigo 1.029, parágrafo único do Código de Processo Civil (art. 657, parágrafo único, do Novo CPC).”</w:t>
      </w:r>
      <w:r>
        <w:rPr>
          <w:color w:val="1A1A1A"/>
          <w:sz w:val="23"/>
          <w:szCs w:val="23"/>
        </w:rPr>
        <w:br/>
      </w:r>
      <w:r>
        <w:rPr>
          <w:rStyle w:val="nfase"/>
          <w:color w:val="1A1A1A"/>
          <w:sz w:val="23"/>
          <w:szCs w:val="23"/>
        </w:rPr>
        <w:t>Proposta com nova redação: aprovada, por maioria (38 votos).</w:t>
      </w:r>
    </w:p>
    <w:p w:rsidR="004D06C7" w:rsidRDefault="004D06C7"/>
    <w:sectPr w:rsidR="004D06C7" w:rsidSect="004D06C7">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FF5DE6"/>
    <w:rsid w:val="004D06C7"/>
    <w:rsid w:val="00704CD6"/>
    <w:rsid w:val="007500AE"/>
    <w:rsid w:val="009829C3"/>
    <w:rsid w:val="00FF5DE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06C7"/>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FF5DE6"/>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FF5DE6"/>
    <w:rPr>
      <w:b/>
      <w:bCs/>
    </w:rPr>
  </w:style>
  <w:style w:type="character" w:styleId="nfase">
    <w:name w:val="Emphasis"/>
    <w:basedOn w:val="Fontepargpadro"/>
    <w:uiPriority w:val="20"/>
    <w:qFormat/>
    <w:rsid w:val="00FF5DE6"/>
    <w:rPr>
      <w:i/>
      <w:iCs/>
    </w:rPr>
  </w:style>
</w:styles>
</file>

<file path=word/webSettings.xml><?xml version="1.0" encoding="utf-8"?>
<w:webSettings xmlns:r="http://schemas.openxmlformats.org/officeDocument/2006/relationships" xmlns:w="http://schemas.openxmlformats.org/wordprocessingml/2006/main">
  <w:divs>
    <w:div w:id="1589650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812</Words>
  <Characters>4385</Characters>
  <Application>Microsoft Office Word</Application>
  <DocSecurity>0</DocSecurity>
  <Lines>36</Lines>
  <Paragraphs>10</Paragraphs>
  <ScaleCrop>false</ScaleCrop>
  <Company/>
  <LinksUpToDate>false</LinksUpToDate>
  <CharactersWithSpaces>5187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cartorio</cp:lastModifiedBy>
  <cp:revision>2</cp:revision>
  <dcterms:created xsi:type="dcterms:W3CDTF">2016-01-14T18:46:00Z</dcterms:created>
  <dcterms:modified xsi:type="dcterms:W3CDTF">2016-01-14T18:46:00Z</dcterms:modified>
</cp:coreProperties>
</file>