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24" w:rsidRPr="00530F81" w:rsidRDefault="00472CE8" w:rsidP="00530F81">
      <w:pPr>
        <w:pStyle w:val="Ttulo"/>
        <w:rPr>
          <w:sz w:val="40"/>
          <w:szCs w:val="40"/>
        </w:rPr>
      </w:pPr>
      <w:r w:rsidRPr="00530F81">
        <w:rPr>
          <w:sz w:val="40"/>
          <w:szCs w:val="40"/>
        </w:rPr>
        <w:t>ENUNCIADOS</w:t>
      </w:r>
      <w:r w:rsidR="00530F81" w:rsidRPr="00530F81">
        <w:rPr>
          <w:sz w:val="40"/>
          <w:szCs w:val="40"/>
        </w:rPr>
        <w:t>:</w:t>
      </w:r>
      <w:r w:rsidRPr="00530F81">
        <w:rPr>
          <w:sz w:val="40"/>
          <w:szCs w:val="40"/>
        </w:rPr>
        <w:t xml:space="preserve"> RETIFICAÇÃO</w:t>
      </w:r>
      <w:r w:rsidR="00530F81" w:rsidRPr="00530F81">
        <w:rPr>
          <w:sz w:val="40"/>
          <w:szCs w:val="40"/>
        </w:rPr>
        <w:t xml:space="preserve"> ADMINISTRATIVA</w:t>
      </w:r>
    </w:p>
    <w:p w:rsidR="00472CE8" w:rsidRDefault="00472CE8" w:rsidP="00530F81">
      <w:pPr>
        <w:spacing w:after="300" w:line="300" w:lineRule="auto"/>
        <w:jc w:val="both"/>
        <w:rPr>
          <w:rFonts w:ascii="Times" w:hAnsi="Times" w:cstheme="minorHAnsi"/>
          <w:color w:val="000000" w:themeColor="text1"/>
          <w:sz w:val="24"/>
          <w:szCs w:val="24"/>
        </w:rPr>
      </w:pPr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 xml:space="preserve">ENUNCIADO </w:t>
      </w:r>
      <w:proofErr w:type="gramStart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1</w:t>
      </w:r>
      <w:proofErr w:type="gramEnd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: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 Poderá ser feita a retificação administrativa do registro de óbito quando o declarante informar que o falecido deixou bens, testamento ou filhos e outros dados que envolvam provas de fato negativo, quando na verdade não deixou, </w:t>
      </w: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apresentando, se possível, prova suficiente ou justificando o motivo de ter se equivocado, através de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 declaração do próprio declarante do óbito, devendo ser cobrados os respectivos emolumentos do procedimento (7150), da averbação (7402), da certidão (7802), pela averbação/anotação na certidão (7901) e pelos arquivamentos (8101). (Fundamentação: art. 110, I Lei 6.015/73 e art. 680, III CN</w:t>
      </w:r>
      <w:proofErr w:type="gramStart"/>
      <w:r w:rsidRPr="00596028">
        <w:rPr>
          <w:rFonts w:ascii="Times" w:hAnsi="Times" w:cstheme="minorHAnsi"/>
          <w:color w:val="000000" w:themeColor="text1"/>
          <w:sz w:val="24"/>
          <w:szCs w:val="24"/>
        </w:rPr>
        <w:t>)</w:t>
      </w:r>
      <w:proofErr w:type="gramEnd"/>
    </w:p>
    <w:p w:rsidR="00CE0FF1" w:rsidRPr="00596028" w:rsidRDefault="00CE0FF1" w:rsidP="00530F81">
      <w:pPr>
        <w:spacing w:after="300" w:line="300" w:lineRule="auto"/>
        <w:jc w:val="both"/>
        <w:rPr>
          <w:rFonts w:ascii="Times" w:hAnsi="Times" w:cstheme="minorHAnsi"/>
          <w:color w:val="000000" w:themeColor="text1"/>
          <w:sz w:val="24"/>
          <w:szCs w:val="24"/>
        </w:rPr>
      </w:pPr>
      <w:r w:rsidRPr="00CE0FF1">
        <w:rPr>
          <w:rFonts w:ascii="Times" w:hAnsi="Times" w:cstheme="minorHAnsi"/>
          <w:b/>
          <w:color w:val="000000" w:themeColor="text1"/>
          <w:sz w:val="24"/>
          <w:szCs w:val="24"/>
        </w:rPr>
        <w:t>ENUNCIADO 1.1</w:t>
      </w:r>
      <w:r>
        <w:rPr>
          <w:rFonts w:ascii="Times" w:hAnsi="Times" w:cstheme="minorHAnsi"/>
          <w:color w:val="000000" w:themeColor="text1"/>
          <w:sz w:val="24"/>
          <w:szCs w:val="24"/>
        </w:rPr>
        <w:t>: Quando a retificação de óbito envolver dado positivo, como existência de filho, existência de bens, existência de testamento, dentre outros basta que qualquer interessado requeira a retificação, apresentando documento comprobatório.</w:t>
      </w:r>
    </w:p>
    <w:p w:rsidR="00B22F34" w:rsidRPr="00596028" w:rsidRDefault="00EB4263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ENUNCIADO</w:t>
      </w:r>
      <w:r w:rsidR="00BC3E57" w:rsidRPr="006B56DE">
        <w:rPr>
          <w:rFonts w:ascii="Times" w:hAnsi="Times" w:cstheme="minorHAnsi"/>
          <w:b/>
          <w:color w:val="000000" w:themeColor="text1"/>
          <w:sz w:val="24"/>
          <w:szCs w:val="24"/>
        </w:rPr>
        <w:t xml:space="preserve"> </w:t>
      </w:r>
      <w:proofErr w:type="gramStart"/>
      <w:r w:rsidR="00BC3E57"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2</w:t>
      </w:r>
      <w:proofErr w:type="gramEnd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: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 </w:t>
      </w:r>
      <w:r w:rsidR="00455167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Quando a retificação de registro de óbito envolver inexistência/existência ou dados referentes a filhos, cônjuges e estado civil, </w:t>
      </w:r>
      <w:r w:rsidR="00455167" w:rsidRPr="00596028">
        <w:rPr>
          <w:rFonts w:ascii="Times" w:hAnsi="Times" w:cstheme="minorHAnsi"/>
          <w:color w:val="000000" w:themeColor="text1"/>
          <w:sz w:val="24"/>
          <w:szCs w:val="24"/>
        </w:rPr>
        <w:t>recomenda-se que</w:t>
      </w:r>
      <w:r w:rsidR="001672D9">
        <w:rPr>
          <w:rFonts w:ascii="Times" w:hAnsi="Times" w:cstheme="minorHAnsi"/>
          <w:color w:val="000000" w:themeColor="text1"/>
          <w:sz w:val="24"/>
          <w:szCs w:val="24"/>
        </w:rPr>
        <w:t xml:space="preserve"> o oficial acesse as Centrais (</w:t>
      </w:r>
      <w:r w:rsidR="00455167" w:rsidRPr="00596028">
        <w:rPr>
          <w:rFonts w:ascii="Times" w:hAnsi="Times" w:cstheme="minorHAnsi"/>
          <w:color w:val="000000" w:themeColor="text1"/>
          <w:sz w:val="24"/>
          <w:szCs w:val="24"/>
        </w:rPr>
        <w:t>CRC-MG e CRC-Nacional)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>,</w:t>
      </w:r>
      <w:r w:rsidR="00455167"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 bem como o próprio sistema da  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serventia para confirmar as alegações. </w:t>
      </w:r>
    </w:p>
    <w:p w:rsidR="00472CE8" w:rsidRPr="00596028" w:rsidRDefault="00BC3E57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 xml:space="preserve">ENUNCIADO </w:t>
      </w:r>
      <w:proofErr w:type="gramStart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3</w:t>
      </w:r>
      <w:proofErr w:type="gramEnd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: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 </w:t>
      </w:r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Se o erro ou o dado objeto de averbação existir no registro de nascimento, primeiro deverá ser objeto de retificação o registro de nascimento, em seguida os demais registros, de casamento e de óbito, se for o caso, devendo ser formado um procedimento separado para cada registro, instruído com requerimento e documentos (originais, autenticados ou conferidos com o original) que comprovem o erro ou o dado objeto de averbação.</w:t>
      </w: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</w:t>
      </w:r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(Fundamentação: Princípio da continuidade, </w:t>
      </w:r>
      <w:proofErr w:type="spellStart"/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arts</w:t>
      </w:r>
      <w:proofErr w:type="spellEnd"/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. </w:t>
      </w:r>
      <w:proofErr w:type="gramStart"/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678, IV e 679</w:t>
      </w:r>
      <w:proofErr w:type="gramEnd"/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CN)</w:t>
      </w:r>
    </w:p>
    <w:p w:rsidR="00472CE8" w:rsidRPr="00596028" w:rsidRDefault="00BC3E57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 xml:space="preserve">ENUNCIADO </w:t>
      </w:r>
      <w:proofErr w:type="gramStart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4</w:t>
      </w:r>
      <w:proofErr w:type="gramEnd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: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 </w:t>
      </w:r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Se o erro ou o dado objeto de averbação existir no registro de nascimento/casamento/óbito dos genitores, primeiro dever</w:t>
      </w: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ão</w:t>
      </w:r>
      <w:r w:rsidR="00472CE8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ser objeto de retificação os referidos registros, para em seguida ser alterado o dado no registro dos filhos, aplicando-se quanto ao procedimento o previsto no </w:t>
      </w:r>
      <w:r w:rsidR="00472CE8" w:rsidRPr="006B56D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enunciado </w:t>
      </w:r>
      <w:r w:rsidRPr="006B56D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3</w:t>
      </w:r>
      <w:r w:rsidR="00472CE8" w:rsidRPr="006B56D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.</w:t>
      </w:r>
    </w:p>
    <w:p w:rsidR="006F6442" w:rsidRPr="00596028" w:rsidRDefault="00016256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 xml:space="preserve">ENUNCIADO </w:t>
      </w:r>
      <w:proofErr w:type="gramStart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5</w:t>
      </w:r>
      <w:proofErr w:type="gramEnd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:</w:t>
      </w:r>
      <w:r w:rsidR="006F6442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A retificação de ofício, que é aquela feita SEM REQUERIMENTO DO INTERESSADO, somente deve ser feita nos casos em que o conteúdo do registro não seja alterado, como </w:t>
      </w:r>
      <w:r w:rsidR="00CE0FF1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nas hipóteses</w:t>
      </w:r>
      <w:r w:rsidR="006F6442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de erros com repercussão meramente interna dos serviços de registro civil. </w:t>
      </w:r>
      <w:proofErr w:type="spellStart"/>
      <w:r w:rsidR="006F6442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Exs</w:t>
      </w:r>
      <w:proofErr w:type="spellEnd"/>
      <w:r w:rsidR="006F6442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: </w:t>
      </w:r>
      <w:r w:rsidR="006F6442"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erro na transposição dos elementos constantes em documentos e </w:t>
      </w:r>
      <w:r w:rsidR="006F6442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inexatidão da ordem cronológica e sucessiva referente à numeração do livro, da folha, da página, do termo, bem como da data do registro.</w:t>
      </w:r>
      <w:r w:rsidR="006B56D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</w:t>
      </w:r>
      <w:r w:rsidR="006F6442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(Fundamentação: art. 110, II e III da Lei 6.015/73</w:t>
      </w:r>
      <w:proofErr w:type="gramStart"/>
      <w:r w:rsidR="006F6442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)</w:t>
      </w:r>
      <w:proofErr w:type="gramEnd"/>
    </w:p>
    <w:p w:rsidR="006F6442" w:rsidRPr="001672D9" w:rsidRDefault="00016256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1672D9">
        <w:rPr>
          <w:rFonts w:ascii="Times" w:hAnsi="Times" w:cstheme="minorHAnsi"/>
          <w:b/>
          <w:strike/>
          <w:color w:val="000000" w:themeColor="text1"/>
          <w:sz w:val="24"/>
          <w:szCs w:val="24"/>
        </w:rPr>
        <w:lastRenderedPageBreak/>
        <w:t xml:space="preserve">ENUNCIADO </w:t>
      </w:r>
      <w:proofErr w:type="gramStart"/>
      <w:r w:rsidRPr="001672D9">
        <w:rPr>
          <w:rFonts w:ascii="Times" w:hAnsi="Times" w:cstheme="minorHAnsi"/>
          <w:b/>
          <w:strike/>
          <w:color w:val="000000" w:themeColor="text1"/>
          <w:sz w:val="24"/>
          <w:szCs w:val="24"/>
        </w:rPr>
        <w:t>6</w:t>
      </w:r>
      <w:proofErr w:type="gramEnd"/>
      <w:r w:rsidRPr="001672D9">
        <w:rPr>
          <w:rFonts w:ascii="Times" w:hAnsi="Times" w:cstheme="minorHAnsi"/>
          <w:b/>
          <w:strike/>
          <w:color w:val="000000" w:themeColor="text1"/>
          <w:sz w:val="24"/>
          <w:szCs w:val="24"/>
        </w:rPr>
        <w:t>:</w:t>
      </w:r>
      <w:r w:rsidRPr="001672D9">
        <w:rPr>
          <w:rFonts w:ascii="Times" w:hAnsi="Times" w:cstheme="minorHAnsi"/>
          <w:strike/>
          <w:color w:val="000000" w:themeColor="text1"/>
          <w:sz w:val="24"/>
          <w:szCs w:val="24"/>
        </w:rPr>
        <w:t xml:space="preserve"> </w:t>
      </w:r>
      <w:r w:rsidR="006F6442" w:rsidRPr="001672D9">
        <w:rPr>
          <w:rFonts w:ascii="Times" w:eastAsia="Times New Roman" w:hAnsi="Times" w:cstheme="minorHAnsi"/>
          <w:strike/>
          <w:color w:val="000000" w:themeColor="text1"/>
          <w:sz w:val="24"/>
          <w:szCs w:val="24"/>
          <w:lang w:eastAsia="pt-BR"/>
        </w:rPr>
        <w:t xml:space="preserve">A cotação da retificação de ofício, </w:t>
      </w:r>
      <w:r w:rsidR="006F6442" w:rsidRPr="001672D9">
        <w:rPr>
          <w:rFonts w:ascii="Times" w:hAnsi="Times" w:cstheme="minorHAnsi"/>
          <w:strike/>
          <w:color w:val="000000" w:themeColor="text1"/>
          <w:sz w:val="24"/>
          <w:szCs w:val="24"/>
          <w:shd w:val="clear" w:color="auto" w:fill="FFFFFF"/>
        </w:rPr>
        <w:t>em razão de erro imputável aos serviços registrais</w:t>
      </w:r>
      <w:r w:rsidR="006F6442" w:rsidRPr="001672D9">
        <w:rPr>
          <w:rFonts w:ascii="Times" w:eastAsia="Times New Roman" w:hAnsi="Times" w:cstheme="minorHAnsi"/>
          <w:strike/>
          <w:color w:val="000000" w:themeColor="text1"/>
          <w:sz w:val="24"/>
          <w:szCs w:val="24"/>
          <w:lang w:eastAsia="pt-BR"/>
        </w:rPr>
        <w:t>, será feita no procedimento administrativo e envolverá os seguintes atos: procedimento (7150), averbação (7402) e arquivamentos (8101), com a tributação 44.</w:t>
      </w:r>
      <w:r w:rsidR="001672D9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</w:t>
      </w:r>
    </w:p>
    <w:p w:rsidR="001672D9" w:rsidRPr="001672D9" w:rsidRDefault="001672D9" w:rsidP="001672D9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 xml:space="preserve">ENUNCIADO </w:t>
      </w:r>
      <w:proofErr w:type="gramStart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6</w:t>
      </w:r>
      <w:proofErr w:type="gramEnd"/>
      <w:r w:rsidRPr="006B56DE">
        <w:rPr>
          <w:rFonts w:ascii="Times" w:hAnsi="Times" w:cstheme="minorHAnsi"/>
          <w:b/>
          <w:color w:val="000000" w:themeColor="text1"/>
          <w:sz w:val="24"/>
          <w:szCs w:val="24"/>
        </w:rPr>
        <w:t>:</w:t>
      </w:r>
      <w:r w:rsidRPr="00596028">
        <w:rPr>
          <w:rFonts w:ascii="Times" w:hAnsi="Times" w:cstheme="minorHAnsi"/>
          <w:color w:val="000000" w:themeColor="text1"/>
          <w:sz w:val="24"/>
          <w:szCs w:val="24"/>
        </w:rPr>
        <w:t xml:space="preserve"> </w:t>
      </w: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A cotação da retificação de ofício, </w:t>
      </w:r>
      <w:r w:rsidRPr="00596028">
        <w:rPr>
          <w:rFonts w:ascii="Times" w:hAnsi="Times" w:cstheme="minorHAnsi"/>
          <w:color w:val="000000" w:themeColor="text1"/>
          <w:sz w:val="24"/>
          <w:szCs w:val="24"/>
          <w:shd w:val="clear" w:color="auto" w:fill="FFFFFF"/>
        </w:rPr>
        <w:t>em razão de erro imputável aos serviços registrais</w:t>
      </w: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, será feita no procedimento administrativo e envolverá os seguintes atos: procedimento (7150), averbação (7402) e arquivamentos (8101), com a tributação </w:t>
      </w:r>
      <w:r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31</w:t>
      </w: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.</w:t>
      </w:r>
      <w:r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(</w:t>
      </w:r>
      <w:r w:rsidRPr="009D6CBE">
        <w:rPr>
          <w:rFonts w:ascii="Times New Roman" w:hAnsi="Times New Roman" w:cs="Times New Roman"/>
          <w:b/>
          <w:i/>
          <w:sz w:val="24"/>
          <w:szCs w:val="24"/>
        </w:rPr>
        <w:t xml:space="preserve">Entendimento firmado </w:t>
      </w:r>
      <w:r>
        <w:rPr>
          <w:rFonts w:ascii="Times New Roman" w:hAnsi="Times New Roman" w:cs="Times New Roman"/>
          <w:b/>
          <w:i/>
          <w:sz w:val="24"/>
          <w:szCs w:val="24"/>
        </w:rPr>
        <w:t>em</w:t>
      </w:r>
      <w:r w:rsidRPr="009D6CBE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9D6CBE">
        <w:rPr>
          <w:rFonts w:ascii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</w:rPr>
        <w:t>03</w:t>
      </w:r>
      <w:r w:rsidRPr="009D6CBE">
        <w:rPr>
          <w:rFonts w:ascii="Times New Roman" w:hAnsi="Times New Roman" w:cs="Times New Roman"/>
          <w:b/>
          <w:i/>
          <w:sz w:val="24"/>
          <w:szCs w:val="24"/>
        </w:rPr>
        <w:t>/2021 pela Comissão de Enunciados.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6F6442" w:rsidRPr="00596028" w:rsidRDefault="006F6442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6B56D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 xml:space="preserve">ENUNCIADO </w:t>
      </w:r>
      <w:proofErr w:type="gramStart"/>
      <w:r w:rsidRPr="006B56D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7</w:t>
      </w:r>
      <w:proofErr w:type="gramEnd"/>
      <w:r w:rsidRPr="006B56D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 xml:space="preserve">: </w:t>
      </w:r>
      <w:r w:rsidR="006B56D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É hipótese de erro material do c</w:t>
      </w: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artório não constar o regime de bens no registro de casamento, cabendo ao oficial analisar:</w:t>
      </w:r>
    </w:p>
    <w:p w:rsidR="00ED0C42" w:rsidRPr="00ED0C42" w:rsidRDefault="006B56DE" w:rsidP="00530F81">
      <w:pPr>
        <w:pStyle w:val="PargrafodaLista"/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0C42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A </w:t>
      </w:r>
      <w:r w:rsidR="006F6442" w:rsidRPr="00ED0C42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existência, à época da celebração, de causas suspensivas, idade ou suprimento judicial, que tornasse obrigatória a separação de bens.</w:t>
      </w:r>
      <w:r w:rsidR="00ED0C42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</w:t>
      </w:r>
      <w:r w:rsidRPr="00ED0C42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Fundamentação:</w:t>
      </w:r>
    </w:p>
    <w:p w:rsidR="00ED0C42" w:rsidRDefault="00ED0C42" w:rsidP="00ED0C42">
      <w:pPr>
        <w:pStyle w:val="PargrafodaLista"/>
        <w:spacing w:after="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</w:p>
    <w:p w:rsidR="001E7219" w:rsidRPr="00ED0C42" w:rsidRDefault="001E7219" w:rsidP="00ED0C42">
      <w:pPr>
        <w:pStyle w:val="PargrafodaLista"/>
        <w:numPr>
          <w:ilvl w:val="0"/>
          <w:numId w:val="2"/>
        </w:numPr>
        <w:spacing w:after="120" w:line="300" w:lineRule="auto"/>
        <w:contextualSpacing w:val="0"/>
        <w:jc w:val="both"/>
        <w:rPr>
          <w:rFonts w:ascii="Times" w:hAnsi="Times" w:cs="Arial"/>
          <w:color w:val="000000"/>
          <w:sz w:val="20"/>
          <w:szCs w:val="20"/>
        </w:rPr>
      </w:pPr>
      <w:r w:rsidRPr="00ED0C42">
        <w:rPr>
          <w:rFonts w:ascii="Times" w:hAnsi="Times" w:cs="Arial"/>
          <w:color w:val="000000"/>
          <w:sz w:val="20"/>
          <w:szCs w:val="20"/>
          <w:u w:val="single"/>
        </w:rPr>
        <w:t>Código Civil de 1916</w:t>
      </w:r>
      <w:r w:rsidR="00971475">
        <w:rPr>
          <w:rFonts w:ascii="Times" w:hAnsi="Times" w:cs="Arial"/>
          <w:color w:val="000000"/>
          <w:sz w:val="20"/>
          <w:szCs w:val="20"/>
          <w:u w:val="single"/>
        </w:rPr>
        <w:t xml:space="preserve"> (em vigor até 09 de janeiro de 2003)</w:t>
      </w:r>
      <w:r w:rsidRPr="00ED0C42">
        <w:rPr>
          <w:rFonts w:ascii="Times" w:hAnsi="Times" w:cs="Arial"/>
          <w:color w:val="000000"/>
          <w:sz w:val="20"/>
          <w:szCs w:val="20"/>
        </w:rPr>
        <w:t xml:space="preserve">: </w:t>
      </w:r>
    </w:p>
    <w:p w:rsidR="001E7219" w:rsidRPr="00ED0C42" w:rsidRDefault="001E7219" w:rsidP="007D6BC3">
      <w:pPr>
        <w:pStyle w:val="NormalWeb"/>
        <w:spacing w:before="0" w:beforeAutospacing="0" w:after="60" w:afterAutospacing="0" w:line="300" w:lineRule="auto"/>
        <w:ind w:left="1418"/>
        <w:jc w:val="both"/>
        <w:rPr>
          <w:rFonts w:ascii="Times" w:hAnsi="Times"/>
          <w:i/>
          <w:color w:val="000000"/>
          <w:sz w:val="20"/>
          <w:szCs w:val="20"/>
        </w:rPr>
      </w:pPr>
      <w:proofErr w:type="gramStart"/>
      <w:r w:rsidRPr="00ED0C42">
        <w:rPr>
          <w:rFonts w:ascii="Times" w:hAnsi="Times" w:cs="Arial"/>
          <w:i/>
          <w:color w:val="000000"/>
          <w:sz w:val="20"/>
          <w:szCs w:val="20"/>
        </w:rPr>
        <w:t>“Art. 258.</w:t>
      </w:r>
      <w:proofErr w:type="gramEnd"/>
      <w:r w:rsidRPr="00ED0C42">
        <w:rPr>
          <w:rFonts w:ascii="Times" w:hAnsi="Times" w:cs="Arial"/>
          <w:i/>
          <w:color w:val="000000"/>
          <w:sz w:val="20"/>
          <w:szCs w:val="20"/>
        </w:rPr>
        <w:t xml:space="preserve"> Não havendo convenção, ou sendo nula, vigorará, quanto aos bens, entre os cônjuges, o regime da comunhão universal.</w:t>
      </w:r>
    </w:p>
    <w:p w:rsidR="001E7219" w:rsidRPr="00ED0C42" w:rsidRDefault="001E7219" w:rsidP="007D6BC3">
      <w:pPr>
        <w:pStyle w:val="NormalWeb"/>
        <w:spacing w:before="0" w:beforeAutospacing="0" w:after="60" w:afterAutospacing="0" w:line="300" w:lineRule="auto"/>
        <w:ind w:left="1418"/>
        <w:jc w:val="both"/>
        <w:rPr>
          <w:rFonts w:ascii="Times" w:hAnsi="Times"/>
          <w:i/>
          <w:color w:val="000000"/>
          <w:sz w:val="20"/>
          <w:szCs w:val="20"/>
        </w:rPr>
      </w:pPr>
      <w:bookmarkStart w:id="0" w:name="art258p"/>
      <w:bookmarkEnd w:id="0"/>
      <w:r w:rsidRPr="00ED0C42">
        <w:rPr>
          <w:rFonts w:ascii="Times" w:hAnsi="Times" w:cs="Arial"/>
          <w:i/>
          <w:color w:val="000000"/>
          <w:sz w:val="20"/>
          <w:szCs w:val="20"/>
        </w:rPr>
        <w:t>Parágrafo único. É, porém, obrigatório o da separação de bens no casamento:</w:t>
      </w:r>
    </w:p>
    <w:p w:rsidR="001E7219" w:rsidRPr="00ED0C42" w:rsidRDefault="001E7219" w:rsidP="007D6BC3">
      <w:pPr>
        <w:pStyle w:val="NormalWeb"/>
        <w:spacing w:before="0" w:beforeAutospacing="0" w:after="60" w:afterAutospacing="0" w:line="300" w:lineRule="auto"/>
        <w:ind w:left="1418"/>
        <w:jc w:val="both"/>
        <w:rPr>
          <w:rFonts w:ascii="Times" w:hAnsi="Times"/>
          <w:i/>
          <w:color w:val="000000"/>
          <w:sz w:val="20"/>
          <w:szCs w:val="20"/>
        </w:rPr>
      </w:pPr>
      <w:bookmarkStart w:id="1" w:name="art258pi"/>
      <w:bookmarkEnd w:id="1"/>
      <w:r w:rsidRPr="00ED0C42">
        <w:rPr>
          <w:rFonts w:ascii="Times" w:hAnsi="Times" w:cs="Arial"/>
          <w:i/>
          <w:color w:val="000000"/>
          <w:sz w:val="20"/>
          <w:szCs w:val="20"/>
        </w:rPr>
        <w:t>...</w:t>
      </w:r>
    </w:p>
    <w:p w:rsidR="001E7219" w:rsidRPr="00ED0C42" w:rsidRDefault="001E7219" w:rsidP="007D6BC3">
      <w:pPr>
        <w:pStyle w:val="NormalWeb"/>
        <w:spacing w:before="0" w:beforeAutospacing="0" w:after="60" w:afterAutospacing="0" w:line="300" w:lineRule="auto"/>
        <w:ind w:left="1418"/>
        <w:jc w:val="both"/>
        <w:rPr>
          <w:rFonts w:ascii="Times" w:hAnsi="Times" w:cs="Arial"/>
          <w:i/>
          <w:color w:val="000000"/>
          <w:sz w:val="20"/>
          <w:szCs w:val="20"/>
        </w:rPr>
      </w:pPr>
      <w:bookmarkStart w:id="2" w:name="art258pii"/>
      <w:bookmarkEnd w:id="2"/>
      <w:r w:rsidRPr="00ED0C42">
        <w:rPr>
          <w:rFonts w:ascii="Times" w:hAnsi="Times" w:cs="Arial"/>
          <w:i/>
          <w:color w:val="000000"/>
          <w:sz w:val="20"/>
          <w:szCs w:val="20"/>
        </w:rPr>
        <w:t xml:space="preserve">II. </w:t>
      </w:r>
      <w:r w:rsidRPr="00ED0C42">
        <w:rPr>
          <w:rFonts w:ascii="Times" w:hAnsi="Times" w:cs="Arial"/>
          <w:b/>
          <w:i/>
          <w:color w:val="000000"/>
          <w:sz w:val="20"/>
          <w:szCs w:val="20"/>
          <w:u w:val="single"/>
        </w:rPr>
        <w:t>Do maior de sessenta e da maior de cinquenta anos</w:t>
      </w:r>
      <w:r w:rsidRPr="00ED0C42">
        <w:rPr>
          <w:rFonts w:ascii="Times" w:hAnsi="Times" w:cs="Arial"/>
          <w:i/>
          <w:color w:val="000000"/>
          <w:sz w:val="20"/>
          <w:szCs w:val="20"/>
        </w:rPr>
        <w:t>.</w:t>
      </w:r>
    </w:p>
    <w:p w:rsidR="001E7219" w:rsidRPr="00ED0C42" w:rsidRDefault="001E7219" w:rsidP="007D6BC3">
      <w:pPr>
        <w:pStyle w:val="NormalWeb"/>
        <w:spacing w:before="0" w:beforeAutospacing="0" w:after="0" w:afterAutospacing="0" w:line="300" w:lineRule="auto"/>
        <w:ind w:left="1418"/>
        <w:jc w:val="both"/>
        <w:rPr>
          <w:rFonts w:ascii="Times" w:hAnsi="Times" w:cs="Arial"/>
          <w:color w:val="000000"/>
          <w:sz w:val="20"/>
          <w:szCs w:val="20"/>
        </w:rPr>
      </w:pPr>
      <w:proofErr w:type="gramStart"/>
      <w:r w:rsidRPr="00ED0C42">
        <w:rPr>
          <w:rFonts w:ascii="Times" w:hAnsi="Times" w:cs="Arial"/>
          <w:i/>
          <w:color w:val="000000"/>
          <w:sz w:val="20"/>
          <w:szCs w:val="20"/>
        </w:rPr>
        <w:t>..</w:t>
      </w:r>
      <w:proofErr w:type="gramEnd"/>
      <w:r w:rsidRPr="00ED0C42">
        <w:rPr>
          <w:rFonts w:ascii="Times" w:hAnsi="Times" w:cs="Arial"/>
          <w:i/>
          <w:color w:val="000000"/>
          <w:sz w:val="20"/>
          <w:szCs w:val="20"/>
        </w:rPr>
        <w:t>”</w:t>
      </w:r>
      <w:r w:rsidR="00ED0C42" w:rsidRPr="00ED0C42">
        <w:rPr>
          <w:rFonts w:ascii="Times" w:hAnsi="Times" w:cs="Arial"/>
          <w:color w:val="000000"/>
          <w:sz w:val="20"/>
          <w:szCs w:val="20"/>
        </w:rPr>
        <w:t xml:space="preserve">(sem grifos no original). </w:t>
      </w:r>
    </w:p>
    <w:p w:rsidR="001E7219" w:rsidRPr="007D6BC3" w:rsidRDefault="001E7219" w:rsidP="00ED0C42">
      <w:pPr>
        <w:pStyle w:val="NormalWeb"/>
        <w:spacing w:before="0" w:beforeAutospacing="0" w:after="0" w:afterAutospacing="0" w:line="300" w:lineRule="auto"/>
        <w:ind w:left="720"/>
        <w:jc w:val="both"/>
        <w:rPr>
          <w:rFonts w:ascii="Times" w:hAnsi="Times" w:cs="Arial"/>
          <w:color w:val="000000"/>
        </w:rPr>
      </w:pPr>
    </w:p>
    <w:p w:rsidR="001E7219" w:rsidRPr="00ED0C42" w:rsidRDefault="001E7219" w:rsidP="00ED0C42">
      <w:pPr>
        <w:pStyle w:val="PargrafodaLista"/>
        <w:numPr>
          <w:ilvl w:val="0"/>
          <w:numId w:val="2"/>
        </w:numPr>
        <w:spacing w:after="120" w:line="300" w:lineRule="auto"/>
        <w:contextualSpacing w:val="0"/>
        <w:jc w:val="both"/>
        <w:rPr>
          <w:rFonts w:ascii="Times" w:hAnsi="Times" w:cs="Arial"/>
          <w:color w:val="000000"/>
          <w:sz w:val="20"/>
          <w:szCs w:val="20"/>
          <w:u w:val="single"/>
        </w:rPr>
      </w:pPr>
      <w:r w:rsidRPr="00ED0C42">
        <w:rPr>
          <w:rFonts w:ascii="Times" w:hAnsi="Times" w:cs="Arial"/>
          <w:color w:val="000000"/>
          <w:sz w:val="20"/>
          <w:szCs w:val="20"/>
          <w:u w:val="single"/>
        </w:rPr>
        <w:t xml:space="preserve">Código Civil de 2002 </w:t>
      </w:r>
      <w:r w:rsidR="00B35D0C" w:rsidRPr="00ED0C42">
        <w:rPr>
          <w:rFonts w:ascii="Times" w:hAnsi="Times" w:cs="Arial"/>
          <w:color w:val="000000"/>
          <w:sz w:val="20"/>
          <w:szCs w:val="20"/>
          <w:u w:val="single"/>
        </w:rPr>
        <w:t xml:space="preserve">– </w:t>
      </w:r>
      <w:r w:rsidR="00ED0C42" w:rsidRPr="00ED0C42">
        <w:rPr>
          <w:rFonts w:ascii="Times" w:hAnsi="Times" w:cs="Arial"/>
          <w:color w:val="000000"/>
          <w:sz w:val="20"/>
          <w:szCs w:val="20"/>
          <w:u w:val="single"/>
        </w:rPr>
        <w:t>(R</w:t>
      </w:r>
      <w:r w:rsidR="00B35D0C" w:rsidRPr="00ED0C42">
        <w:rPr>
          <w:rFonts w:ascii="Times" w:hAnsi="Times" w:cs="Arial"/>
          <w:color w:val="000000"/>
          <w:sz w:val="20"/>
          <w:szCs w:val="20"/>
          <w:u w:val="single"/>
        </w:rPr>
        <w:t>edação original</w:t>
      </w:r>
      <w:r w:rsidR="00971475">
        <w:rPr>
          <w:rFonts w:ascii="Times" w:hAnsi="Times" w:cs="Arial"/>
          <w:color w:val="000000"/>
          <w:sz w:val="20"/>
          <w:szCs w:val="20"/>
          <w:u w:val="single"/>
        </w:rPr>
        <w:t xml:space="preserve"> – em vigor a partir de 10 de janeiro de 2003</w:t>
      </w:r>
      <w:r w:rsidR="00ED0C42" w:rsidRPr="00ED0C42">
        <w:rPr>
          <w:rFonts w:ascii="Times" w:hAnsi="Times" w:cs="Arial"/>
          <w:color w:val="000000"/>
          <w:sz w:val="20"/>
          <w:szCs w:val="20"/>
          <w:u w:val="single"/>
        </w:rPr>
        <w:t>)</w:t>
      </w:r>
    </w:p>
    <w:p w:rsidR="00ED0C42" w:rsidRPr="00ED0C42" w:rsidRDefault="001E7219" w:rsidP="007D6BC3">
      <w:pPr>
        <w:pStyle w:val="NormalWeb"/>
        <w:spacing w:before="0" w:beforeAutospacing="0" w:after="60" w:afterAutospacing="0" w:line="300" w:lineRule="auto"/>
        <w:ind w:left="1418"/>
        <w:jc w:val="both"/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</w:pPr>
      <w:proofErr w:type="gramStart"/>
      <w:r w:rsidRPr="00ED0C42">
        <w:rPr>
          <w:rFonts w:ascii="Times" w:hAnsi="Times" w:cs="Arial"/>
          <w:i/>
          <w:color w:val="000000"/>
          <w:sz w:val="20"/>
          <w:szCs w:val="20"/>
        </w:rPr>
        <w:t>“</w:t>
      </w:r>
      <w:r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>Art. 1.641</w:t>
      </w:r>
      <w:r w:rsidR="00ED0C42"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>.</w:t>
      </w:r>
      <w:r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> É obrigatório o regime da separação de bens no casamento:</w:t>
      </w:r>
    </w:p>
    <w:p w:rsidR="001E7219" w:rsidRPr="00ED0C42" w:rsidRDefault="001E7219" w:rsidP="007D6BC3">
      <w:pPr>
        <w:pStyle w:val="NormalWeb"/>
        <w:spacing w:before="0" w:beforeAutospacing="0" w:after="60" w:afterAutospacing="0" w:line="300" w:lineRule="auto"/>
        <w:ind w:left="1418"/>
        <w:jc w:val="both"/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</w:pPr>
      <w:proofErr w:type="gramEnd"/>
      <w:r w:rsidRPr="00ED0C42">
        <w:rPr>
          <w:rFonts w:ascii="Times" w:hAnsi="Times" w:cs="Segoe UI"/>
          <w:i/>
          <w:color w:val="212529"/>
          <w:sz w:val="20"/>
          <w:szCs w:val="20"/>
        </w:rPr>
        <w:t>...</w:t>
      </w:r>
      <w:r w:rsidRPr="00ED0C42">
        <w:rPr>
          <w:rFonts w:ascii="Times" w:hAnsi="Times" w:cs="Segoe UI"/>
          <w:i/>
          <w:color w:val="212529"/>
          <w:sz w:val="20"/>
          <w:szCs w:val="20"/>
        </w:rPr>
        <w:br/>
      </w:r>
      <w:r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 xml:space="preserve">II - </w:t>
      </w:r>
      <w:r w:rsidRPr="00ED0C42">
        <w:rPr>
          <w:rFonts w:ascii="Times" w:hAnsi="Times" w:cs="Segoe UI"/>
          <w:b/>
          <w:i/>
          <w:color w:val="212529"/>
          <w:sz w:val="20"/>
          <w:szCs w:val="20"/>
          <w:u w:val="single"/>
          <w:shd w:val="clear" w:color="auto" w:fill="FFFFFF"/>
        </w:rPr>
        <w:t>da pessoa maior de sessenta anos</w:t>
      </w:r>
      <w:r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>;</w:t>
      </w:r>
    </w:p>
    <w:p w:rsidR="00ED0C42" w:rsidRPr="00ED0C42" w:rsidRDefault="001E7219" w:rsidP="007D6BC3">
      <w:pPr>
        <w:pStyle w:val="NormalWeb"/>
        <w:spacing w:before="0" w:beforeAutospacing="0" w:after="0" w:afterAutospacing="0" w:line="300" w:lineRule="auto"/>
        <w:ind w:left="1418"/>
        <w:jc w:val="both"/>
        <w:rPr>
          <w:rFonts w:ascii="Times" w:hAnsi="Times" w:cs="Arial"/>
          <w:color w:val="000000"/>
          <w:sz w:val="20"/>
          <w:szCs w:val="20"/>
        </w:rPr>
      </w:pPr>
      <w:proofErr w:type="gramStart"/>
      <w:r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>...”</w:t>
      </w:r>
      <w:proofErr w:type="gramEnd"/>
      <w:r w:rsidR="00ED0C42" w:rsidRPr="00ED0C42">
        <w:rPr>
          <w:rFonts w:ascii="Times" w:hAnsi="Times" w:cs="Arial"/>
          <w:i/>
          <w:color w:val="000000"/>
          <w:sz w:val="20"/>
          <w:szCs w:val="20"/>
        </w:rPr>
        <w:t xml:space="preserve"> </w:t>
      </w:r>
      <w:r w:rsidR="00ED0C42" w:rsidRPr="00ED0C42">
        <w:rPr>
          <w:rFonts w:ascii="Times" w:hAnsi="Times" w:cs="Arial"/>
          <w:color w:val="000000"/>
          <w:sz w:val="20"/>
          <w:szCs w:val="20"/>
        </w:rPr>
        <w:t xml:space="preserve">(sem grifos no original). </w:t>
      </w:r>
    </w:p>
    <w:p w:rsidR="001E7219" w:rsidRPr="007D6BC3" w:rsidRDefault="001E7219" w:rsidP="00ED0C42">
      <w:pPr>
        <w:pStyle w:val="NormalWeb"/>
        <w:spacing w:before="0" w:beforeAutospacing="0" w:after="0" w:afterAutospacing="0" w:line="300" w:lineRule="auto"/>
        <w:ind w:left="720"/>
        <w:jc w:val="both"/>
        <w:rPr>
          <w:rFonts w:ascii="Times" w:hAnsi="Times" w:cs="Segoe UI"/>
          <w:color w:val="212529"/>
          <w:shd w:val="clear" w:color="auto" w:fill="FFFFFF"/>
        </w:rPr>
      </w:pPr>
    </w:p>
    <w:p w:rsidR="00B35D0C" w:rsidRPr="00ED0C42" w:rsidRDefault="00B35D0C" w:rsidP="00ED0C42">
      <w:pPr>
        <w:pStyle w:val="PargrafodaLista"/>
        <w:numPr>
          <w:ilvl w:val="0"/>
          <w:numId w:val="2"/>
        </w:numPr>
        <w:spacing w:after="120" w:line="300" w:lineRule="auto"/>
        <w:contextualSpacing w:val="0"/>
        <w:jc w:val="both"/>
        <w:rPr>
          <w:rFonts w:ascii="Times" w:hAnsi="Times" w:cs="Arial"/>
          <w:color w:val="000000"/>
          <w:sz w:val="20"/>
          <w:szCs w:val="20"/>
          <w:u w:val="single"/>
        </w:rPr>
      </w:pPr>
      <w:r w:rsidRPr="00ED0C42">
        <w:rPr>
          <w:rFonts w:ascii="Times" w:hAnsi="Times" w:cs="Arial"/>
          <w:color w:val="000000"/>
          <w:sz w:val="20"/>
          <w:szCs w:val="20"/>
          <w:u w:val="single"/>
        </w:rPr>
        <w:t xml:space="preserve">Código Civil de 2002 – </w:t>
      </w:r>
      <w:r w:rsidR="00ED0C42" w:rsidRPr="00ED0C42">
        <w:rPr>
          <w:rFonts w:ascii="Times" w:hAnsi="Times" w:cs="Arial"/>
          <w:color w:val="000000"/>
          <w:sz w:val="20"/>
          <w:szCs w:val="20"/>
          <w:u w:val="single"/>
        </w:rPr>
        <w:t>(</w:t>
      </w:r>
      <w:r w:rsidRPr="00ED0C42">
        <w:rPr>
          <w:rFonts w:ascii="Times" w:hAnsi="Times" w:cs="Arial"/>
          <w:color w:val="000000"/>
          <w:sz w:val="20"/>
          <w:szCs w:val="20"/>
          <w:u w:val="single"/>
        </w:rPr>
        <w:t>Redação dada pela Lei nº 12.344</w:t>
      </w:r>
      <w:r w:rsidR="00ED0C42" w:rsidRPr="00ED0C42">
        <w:rPr>
          <w:rFonts w:ascii="Times" w:hAnsi="Times" w:cs="Arial"/>
          <w:color w:val="000000"/>
          <w:sz w:val="20"/>
          <w:szCs w:val="20"/>
          <w:u w:val="single"/>
        </w:rPr>
        <w:t xml:space="preserve"> de</w:t>
      </w:r>
      <w:r w:rsidRPr="00ED0C42">
        <w:rPr>
          <w:rFonts w:ascii="Times" w:hAnsi="Times" w:cs="Arial"/>
          <w:color w:val="000000"/>
          <w:sz w:val="20"/>
          <w:szCs w:val="20"/>
          <w:u w:val="single"/>
        </w:rPr>
        <w:t xml:space="preserve"> 2010</w:t>
      </w:r>
      <w:r w:rsidR="00ED0C42" w:rsidRPr="00ED0C42">
        <w:rPr>
          <w:rFonts w:ascii="Times" w:hAnsi="Times" w:cs="Arial"/>
          <w:color w:val="000000"/>
          <w:sz w:val="20"/>
          <w:szCs w:val="20"/>
          <w:u w:val="single"/>
        </w:rPr>
        <w:t>)</w:t>
      </w:r>
    </w:p>
    <w:p w:rsidR="00B35D0C" w:rsidRPr="00ED0C42" w:rsidRDefault="00ED0C42" w:rsidP="007D6BC3">
      <w:pPr>
        <w:pStyle w:val="NormalWeb"/>
        <w:shd w:val="clear" w:color="auto" w:fill="FFFFFF"/>
        <w:tabs>
          <w:tab w:val="left" w:pos="851"/>
        </w:tabs>
        <w:spacing w:before="0" w:beforeAutospacing="0" w:after="60" w:afterAutospacing="0" w:line="300" w:lineRule="auto"/>
        <w:ind w:left="1418"/>
        <w:jc w:val="both"/>
        <w:rPr>
          <w:rFonts w:ascii="Times" w:hAnsi="Times"/>
          <w:i/>
          <w:color w:val="000000"/>
          <w:sz w:val="20"/>
          <w:szCs w:val="20"/>
        </w:rPr>
      </w:pPr>
      <w:proofErr w:type="gramStart"/>
      <w:r w:rsidRPr="00ED0C42">
        <w:rPr>
          <w:rFonts w:ascii="Times" w:hAnsi="Times"/>
          <w:i/>
          <w:color w:val="000000"/>
          <w:sz w:val="20"/>
          <w:szCs w:val="20"/>
        </w:rPr>
        <w:t>“</w:t>
      </w:r>
      <w:r w:rsidR="00B35D0C" w:rsidRPr="00ED0C42">
        <w:rPr>
          <w:rFonts w:ascii="Times" w:hAnsi="Times"/>
          <w:i/>
          <w:color w:val="000000"/>
          <w:sz w:val="20"/>
          <w:szCs w:val="20"/>
        </w:rPr>
        <w:t>Art. 1.641. É obrigatório o regime da separação de bens no casamento:</w:t>
      </w:r>
    </w:p>
    <w:p w:rsidR="00B35D0C" w:rsidRPr="00ED0C42" w:rsidRDefault="00ED0C42" w:rsidP="007D6BC3">
      <w:pPr>
        <w:pStyle w:val="NormalWeb"/>
        <w:shd w:val="clear" w:color="auto" w:fill="FFFFFF"/>
        <w:tabs>
          <w:tab w:val="left" w:pos="851"/>
        </w:tabs>
        <w:spacing w:before="0" w:beforeAutospacing="0" w:after="60" w:afterAutospacing="0" w:line="300" w:lineRule="auto"/>
        <w:ind w:left="1418"/>
        <w:jc w:val="both"/>
        <w:rPr>
          <w:rFonts w:ascii="Times" w:hAnsi="Times"/>
          <w:i/>
          <w:color w:val="000000"/>
          <w:sz w:val="20"/>
          <w:szCs w:val="20"/>
        </w:rPr>
      </w:pPr>
      <w:proofErr w:type="gramEnd"/>
      <w:r w:rsidRPr="00ED0C42">
        <w:rPr>
          <w:rFonts w:ascii="Times" w:hAnsi="Times"/>
          <w:i/>
          <w:color w:val="000000"/>
          <w:sz w:val="20"/>
          <w:szCs w:val="20"/>
        </w:rPr>
        <w:t>...</w:t>
      </w:r>
    </w:p>
    <w:p w:rsidR="00B35D0C" w:rsidRPr="00ED0C42" w:rsidRDefault="00B35D0C" w:rsidP="007D6BC3">
      <w:pPr>
        <w:pStyle w:val="NormalWeb"/>
        <w:shd w:val="clear" w:color="auto" w:fill="FFFFFF"/>
        <w:tabs>
          <w:tab w:val="left" w:pos="851"/>
        </w:tabs>
        <w:spacing w:before="0" w:beforeAutospacing="0" w:after="60" w:afterAutospacing="0" w:line="300" w:lineRule="auto"/>
        <w:ind w:left="1418"/>
        <w:jc w:val="both"/>
        <w:rPr>
          <w:rStyle w:val="Hyperlink"/>
          <w:rFonts w:ascii="Times" w:hAnsi="Times"/>
          <w:i/>
          <w:sz w:val="20"/>
          <w:szCs w:val="20"/>
        </w:rPr>
      </w:pPr>
      <w:r w:rsidRPr="00ED0C42">
        <w:rPr>
          <w:rFonts w:ascii="Times" w:hAnsi="Times"/>
          <w:i/>
          <w:color w:val="000000"/>
          <w:sz w:val="20"/>
          <w:szCs w:val="20"/>
        </w:rPr>
        <w:t>II – da pessoa maior de 70 (setenta) anos; </w:t>
      </w:r>
      <w:hyperlink r:id="rId9" w:anchor="art1" w:history="1">
        <w:r w:rsidRPr="00ED0C42">
          <w:rPr>
            <w:rStyle w:val="Hyperlink"/>
            <w:rFonts w:ascii="Times" w:hAnsi="Times"/>
            <w:i/>
            <w:sz w:val="20"/>
            <w:szCs w:val="20"/>
          </w:rPr>
          <w:t xml:space="preserve">(Redação dada pela Lei nº 12.344, </w:t>
        </w:r>
        <w:proofErr w:type="gramStart"/>
        <w:r w:rsidR="00971475">
          <w:rPr>
            <w:rStyle w:val="Hyperlink"/>
            <w:rFonts w:ascii="Times" w:hAnsi="Times"/>
            <w:i/>
            <w:sz w:val="20"/>
            <w:szCs w:val="20"/>
          </w:rPr>
          <w:t>9</w:t>
        </w:r>
        <w:proofErr w:type="gramEnd"/>
        <w:r w:rsidR="00971475">
          <w:rPr>
            <w:rStyle w:val="Hyperlink"/>
            <w:rFonts w:ascii="Times" w:hAnsi="Times"/>
            <w:i/>
            <w:sz w:val="20"/>
            <w:szCs w:val="20"/>
          </w:rPr>
          <w:t xml:space="preserve"> de </w:t>
        </w:r>
        <w:r w:rsidRPr="00ED0C42">
          <w:rPr>
            <w:rStyle w:val="Hyperlink"/>
            <w:rFonts w:ascii="Times" w:hAnsi="Times"/>
            <w:i/>
            <w:sz w:val="20"/>
            <w:szCs w:val="20"/>
          </w:rPr>
          <w:t>de</w:t>
        </w:r>
        <w:r w:rsidR="00971475">
          <w:rPr>
            <w:rStyle w:val="Hyperlink"/>
            <w:rFonts w:ascii="Times" w:hAnsi="Times"/>
            <w:i/>
            <w:sz w:val="20"/>
            <w:szCs w:val="20"/>
          </w:rPr>
          <w:t xml:space="preserve">zembro de </w:t>
        </w:r>
        <w:r w:rsidRPr="00ED0C42">
          <w:rPr>
            <w:rStyle w:val="Hyperlink"/>
            <w:rFonts w:ascii="Times" w:hAnsi="Times"/>
            <w:i/>
            <w:sz w:val="20"/>
            <w:szCs w:val="20"/>
          </w:rPr>
          <w:t xml:space="preserve"> 2010)</w:t>
        </w:r>
      </w:hyperlink>
    </w:p>
    <w:p w:rsidR="00ED0C42" w:rsidRPr="00ED0C42" w:rsidRDefault="00ED0C42" w:rsidP="007D6BC3">
      <w:pPr>
        <w:pStyle w:val="NormalWeb"/>
        <w:tabs>
          <w:tab w:val="left" w:pos="851"/>
        </w:tabs>
        <w:spacing w:before="0" w:beforeAutospacing="0" w:after="0" w:afterAutospacing="0" w:line="300" w:lineRule="auto"/>
        <w:ind w:left="1418"/>
        <w:jc w:val="both"/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</w:pPr>
      <w:proofErr w:type="gramStart"/>
      <w:r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>...”</w:t>
      </w:r>
      <w:proofErr w:type="gramEnd"/>
      <w:r w:rsidRPr="00ED0C42">
        <w:rPr>
          <w:rFonts w:ascii="Times" w:hAnsi="Times" w:cs="Segoe UI"/>
          <w:i/>
          <w:color w:val="212529"/>
          <w:sz w:val="20"/>
          <w:szCs w:val="20"/>
          <w:shd w:val="clear" w:color="auto" w:fill="FFFFFF"/>
        </w:rPr>
        <w:t xml:space="preserve"> (sem grifos no original).</w:t>
      </w:r>
    </w:p>
    <w:p w:rsidR="00B35D0C" w:rsidRDefault="00B35D0C" w:rsidP="007D6BC3">
      <w:pPr>
        <w:pStyle w:val="PargrafodaLista"/>
        <w:spacing w:after="0" w:line="300" w:lineRule="auto"/>
        <w:jc w:val="both"/>
        <w:rPr>
          <w:rFonts w:ascii="Times" w:hAnsi="Times" w:cs="Segoe UI"/>
          <w:color w:val="212529"/>
          <w:shd w:val="clear" w:color="auto" w:fill="FFFFFF"/>
        </w:rPr>
      </w:pPr>
    </w:p>
    <w:p w:rsidR="00016256" w:rsidRPr="00596028" w:rsidRDefault="006F6442" w:rsidP="00530F81">
      <w:pPr>
        <w:pStyle w:val="PargrafodaLista"/>
        <w:numPr>
          <w:ilvl w:val="0"/>
          <w:numId w:val="1"/>
        </w:num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A existência de pacto antenupcial no processo de habilitação ou menção a ele no registro; </w:t>
      </w:r>
    </w:p>
    <w:p w:rsidR="00016256" w:rsidRPr="00596028" w:rsidRDefault="00016256" w:rsidP="00530F81">
      <w:pPr>
        <w:pStyle w:val="PargrafodaLista"/>
        <w:spacing w:line="300" w:lineRule="auto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</w:p>
    <w:p w:rsidR="006F6442" w:rsidRPr="00596028" w:rsidRDefault="006F6442" w:rsidP="00530F81">
      <w:pPr>
        <w:pStyle w:val="PargrafodaLista"/>
        <w:numPr>
          <w:ilvl w:val="0"/>
          <w:numId w:val="1"/>
        </w:num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lastRenderedPageBreak/>
        <w:t xml:space="preserve">Na inexistência das hipóteses mencionadas nos itens </w:t>
      </w:r>
      <w:proofErr w:type="gramStart"/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1</w:t>
      </w:r>
      <w:proofErr w:type="gramEnd"/>
      <w:r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e 2, cabe ao oficial constar de forma expressa, no registro e na certidão, o regime legal vigente à época da celebração, aplicando-se o disposto no enunciado </w:t>
      </w:r>
      <w:r w:rsidR="00016256" w:rsidRPr="00596028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8.</w:t>
      </w:r>
    </w:p>
    <w:p w:rsidR="00016256" w:rsidRPr="00596028" w:rsidRDefault="00016256" w:rsidP="00530F81">
      <w:pPr>
        <w:pStyle w:val="PargrafodaLista"/>
        <w:spacing w:line="300" w:lineRule="auto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</w:p>
    <w:p w:rsidR="000A0206" w:rsidRPr="000A0206" w:rsidRDefault="00016256" w:rsidP="00530F81">
      <w:pPr>
        <w:spacing w:after="300" w:line="300" w:lineRule="auto"/>
        <w:jc w:val="both"/>
        <w:rPr>
          <w:rFonts w:ascii="Times" w:eastAsia="Times New Roman" w:hAnsi="Times" w:cstheme="minorHAnsi"/>
          <w:sz w:val="24"/>
          <w:szCs w:val="24"/>
          <w:lang w:eastAsia="pt-BR"/>
        </w:rPr>
      </w:pPr>
      <w:r w:rsidRPr="000A0206">
        <w:rPr>
          <w:rFonts w:ascii="Times" w:eastAsia="Times New Roman" w:hAnsi="Times" w:cstheme="minorHAnsi"/>
          <w:b/>
          <w:sz w:val="24"/>
          <w:szCs w:val="24"/>
          <w:lang w:eastAsia="pt-BR"/>
        </w:rPr>
        <w:t xml:space="preserve">ENUNCIADO </w:t>
      </w:r>
      <w:proofErr w:type="gramStart"/>
      <w:r w:rsidRPr="000A0206">
        <w:rPr>
          <w:rFonts w:ascii="Times" w:eastAsia="Times New Roman" w:hAnsi="Times" w:cstheme="minorHAnsi"/>
          <w:b/>
          <w:sz w:val="24"/>
          <w:szCs w:val="24"/>
          <w:lang w:eastAsia="pt-BR"/>
        </w:rPr>
        <w:t>8</w:t>
      </w:r>
      <w:proofErr w:type="gramEnd"/>
      <w:r w:rsidRPr="000A0206">
        <w:rPr>
          <w:rFonts w:ascii="Times" w:eastAsia="Times New Roman" w:hAnsi="Times" w:cstheme="minorHAnsi"/>
          <w:b/>
          <w:sz w:val="24"/>
          <w:szCs w:val="24"/>
          <w:lang w:eastAsia="pt-BR"/>
        </w:rPr>
        <w:t>:</w:t>
      </w:r>
      <w:r w:rsidRPr="000A0206">
        <w:rPr>
          <w:rFonts w:ascii="Times" w:eastAsia="Times New Roman" w:hAnsi="Times" w:cstheme="minorHAnsi"/>
          <w:sz w:val="24"/>
          <w:szCs w:val="24"/>
          <w:lang w:eastAsia="pt-BR"/>
        </w:rPr>
        <w:t xml:space="preserve"> </w:t>
      </w:r>
      <w:r w:rsidR="000A0206" w:rsidRPr="000A0206">
        <w:rPr>
          <w:rFonts w:ascii="Times" w:eastAsia="Times New Roman" w:hAnsi="Times" w:cstheme="minorHAnsi"/>
          <w:sz w:val="24"/>
          <w:szCs w:val="24"/>
          <w:lang w:eastAsia="pt-BR"/>
        </w:rPr>
        <w:t xml:space="preserve">É hipótese de erro material do cartório e poderá ser feita a retificação administrativa, a requerimento da parte interessada, para constar o regime da comunhão parcial de bens nos registros de casamentos realizados a partir de 27 de dezembro de 1977, se constar o regime da comunhão universal de bens ou comunhão de bens e for certificada pelo Oficial a ausência de menção a pacto antenupcial no registro ou a respectiva escritura no processo de habilitação. </w:t>
      </w:r>
    </w:p>
    <w:p w:rsidR="006F6442" w:rsidRPr="009D6CBE" w:rsidRDefault="00016256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 xml:space="preserve">ENUNCIADO </w:t>
      </w:r>
      <w:r w:rsidR="001D6DDF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8.1</w:t>
      </w:r>
      <w:r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:</w:t>
      </w:r>
      <w:r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</w:t>
      </w:r>
      <w:r w:rsidR="006F6442"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Se vivos e capazes, ambos os cônjuges devem assinar conjuntamente o pedido de retificação de regime de bens.</w:t>
      </w:r>
    </w:p>
    <w:p w:rsidR="006F6442" w:rsidRPr="009D6CBE" w:rsidRDefault="00016256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 xml:space="preserve">ENUNCIADO </w:t>
      </w:r>
      <w:r w:rsidR="001D6DDF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8.2:</w:t>
      </w:r>
      <w:r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</w:t>
      </w:r>
      <w:r w:rsidR="006F6442"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Se um dos cônjuges for falecido ou incapaz, o cônjuge sobrevivente e </w:t>
      </w:r>
      <w:r w:rsidR="00641A74"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todos </w:t>
      </w:r>
      <w:r w:rsidR="006F6442"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os herdeiros devem assinar conjuntamente o pedido de retificação de regime de bens.</w:t>
      </w:r>
    </w:p>
    <w:p w:rsidR="006F6442" w:rsidRPr="009D6CBE" w:rsidRDefault="00016256" w:rsidP="00530F81">
      <w:pPr>
        <w:spacing w:after="300" w:line="300" w:lineRule="auto"/>
        <w:jc w:val="both"/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</w:pPr>
      <w:r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 xml:space="preserve">ENUNCIADO </w:t>
      </w:r>
      <w:r w:rsidR="001D6DDF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8.3:</w:t>
      </w:r>
      <w:r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 </w:t>
      </w:r>
      <w:r w:rsidR="006F6442"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Se ambos os cônjuges forem falecidos ou incapazes, </w:t>
      </w:r>
      <w:r w:rsidR="00641A74"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 xml:space="preserve">todos </w:t>
      </w:r>
      <w:r w:rsidR="006F6442" w:rsidRPr="009D6CBE">
        <w:rPr>
          <w:rFonts w:ascii="Times" w:eastAsia="Times New Roman" w:hAnsi="Times" w:cstheme="minorHAnsi"/>
          <w:color w:val="000000" w:themeColor="text1"/>
          <w:sz w:val="24"/>
          <w:szCs w:val="24"/>
          <w:lang w:eastAsia="pt-BR"/>
        </w:rPr>
        <w:t>os herdeiros devem assinar conjuntamente o pedido de retificação de regime de bens.</w:t>
      </w:r>
    </w:p>
    <w:p w:rsidR="00016256" w:rsidRPr="009D6CBE" w:rsidRDefault="00C277E8" w:rsidP="00530F81">
      <w:pPr>
        <w:spacing w:after="300" w:line="300" w:lineRule="auto"/>
        <w:jc w:val="both"/>
        <w:rPr>
          <w:rFonts w:ascii="Times" w:eastAsia="Times New Roman" w:hAnsi="Times" w:cs="Times New Roman"/>
          <w:sz w:val="24"/>
          <w:szCs w:val="24"/>
          <w:lang w:eastAsia="pt-BR"/>
        </w:rPr>
      </w:pPr>
      <w:r w:rsidRPr="009D6CBE">
        <w:rPr>
          <w:rFonts w:ascii="Times" w:eastAsia="Times New Roman" w:hAnsi="Times" w:cstheme="minorHAnsi"/>
          <w:b/>
          <w:sz w:val="24"/>
          <w:szCs w:val="24"/>
          <w:lang w:eastAsia="pt-BR"/>
        </w:rPr>
        <w:t xml:space="preserve">ENUNCIADO </w:t>
      </w:r>
      <w:proofErr w:type="gramStart"/>
      <w:r w:rsidR="001D6DDF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9</w:t>
      </w:r>
      <w:proofErr w:type="gramEnd"/>
      <w:r w:rsidR="00016256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:</w:t>
      </w:r>
      <w:r w:rsidR="00016256" w:rsidRPr="009D6CBE">
        <w:rPr>
          <w:rFonts w:ascii="Times" w:hAnsi="Times" w:cs="Times New Roman"/>
          <w:sz w:val="24"/>
          <w:szCs w:val="24"/>
        </w:rPr>
        <w:t xml:space="preserve"> Nas certidões expedidas após a averbação, os respectivos campos serão preenchidos com os dados já alterados, não sendo necessário constar do campo averbações/anotações o teor da modificação, mas apenas a indicação de que “a presente certidão envolve elementos de averbação à margem do termo”, </w:t>
      </w:r>
      <w:r w:rsidR="00016256" w:rsidRPr="009D6CBE">
        <w:rPr>
          <w:rFonts w:ascii="Times" w:eastAsia="Times New Roman" w:hAnsi="Times" w:cs="Times New Roman"/>
          <w:sz w:val="24"/>
          <w:szCs w:val="24"/>
          <w:lang w:eastAsia="pt-BR"/>
        </w:rPr>
        <w:t>sendo facultado identificar qual o dado foi objeto da retificação, quando não for hipótese de dados sigilosos ou que possam criar constrangimento para o registrado. (Fundamentação: art. 682, §§1º e 2º CN).</w:t>
      </w:r>
    </w:p>
    <w:p w:rsidR="006F6442" w:rsidRPr="009D6CBE" w:rsidRDefault="00921AA0" w:rsidP="00530F81">
      <w:pPr>
        <w:spacing w:after="300" w:line="300" w:lineRule="auto"/>
        <w:jc w:val="both"/>
        <w:rPr>
          <w:rFonts w:ascii="Times" w:hAnsi="Times" w:cs="Times New Roman"/>
          <w:sz w:val="24"/>
          <w:szCs w:val="24"/>
        </w:rPr>
      </w:pPr>
      <w:r w:rsidRPr="009D6CBE">
        <w:rPr>
          <w:rFonts w:ascii="Times" w:eastAsia="Times New Roman" w:hAnsi="Times" w:cs="Times New Roman"/>
          <w:b/>
          <w:bCs/>
          <w:sz w:val="24"/>
          <w:szCs w:val="24"/>
          <w:lang w:eastAsia="pt-BR"/>
        </w:rPr>
        <w:t xml:space="preserve">ENUNCIADO </w:t>
      </w:r>
      <w:r w:rsidR="00596028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1</w:t>
      </w:r>
      <w:r w:rsidR="001D6DDF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0</w:t>
      </w:r>
      <w:r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:</w:t>
      </w:r>
      <w:r w:rsidRPr="009D6CBE">
        <w:rPr>
          <w:rFonts w:ascii="Times" w:eastAsia="Times New Roman" w:hAnsi="Times" w:cs="Times New Roman"/>
          <w:sz w:val="24"/>
          <w:szCs w:val="24"/>
          <w:lang w:eastAsia="pt-BR"/>
        </w:rPr>
        <w:t xml:space="preserve"> A averbação de retificação, nos termos do art. 110 da Lei 6.015/73, será feita pelo oficial de registro do cartório onde se encontrar o assentamento, independentemente de decisão judicial ou </w:t>
      </w:r>
      <w:r w:rsidRPr="009D6CBE">
        <w:rPr>
          <w:rFonts w:ascii="Times" w:hAnsi="Times" w:cs="Times New Roman"/>
          <w:sz w:val="24"/>
          <w:szCs w:val="24"/>
        </w:rPr>
        <w:t>manifestação do Ministério Público.</w:t>
      </w:r>
    </w:p>
    <w:p w:rsidR="00641A74" w:rsidRPr="009D6CBE" w:rsidRDefault="00641A74" w:rsidP="00530F81">
      <w:pPr>
        <w:spacing w:after="300" w:line="300" w:lineRule="auto"/>
        <w:jc w:val="both"/>
        <w:rPr>
          <w:rFonts w:ascii="Times" w:hAnsi="Times" w:cs="Times New Roman"/>
          <w:sz w:val="24"/>
          <w:szCs w:val="24"/>
        </w:rPr>
      </w:pPr>
      <w:r w:rsidRPr="009D6CBE">
        <w:rPr>
          <w:rFonts w:ascii="Times" w:hAnsi="Times" w:cs="Times New Roman"/>
          <w:b/>
          <w:sz w:val="24"/>
          <w:szCs w:val="24"/>
        </w:rPr>
        <w:t xml:space="preserve">ENUNCIADO </w:t>
      </w:r>
      <w:r w:rsidR="001D6DDF" w:rsidRPr="009D6CBE">
        <w:rPr>
          <w:rFonts w:ascii="Times" w:eastAsia="Times New Roman" w:hAnsi="Times" w:cstheme="minorHAnsi"/>
          <w:b/>
          <w:color w:val="000000" w:themeColor="text1"/>
          <w:sz w:val="24"/>
          <w:szCs w:val="24"/>
          <w:lang w:eastAsia="pt-BR"/>
        </w:rPr>
        <w:t>11:</w:t>
      </w:r>
      <w:r w:rsidRPr="009D6CBE">
        <w:rPr>
          <w:rFonts w:ascii="Times" w:hAnsi="Times" w:cs="Times New Roman"/>
          <w:sz w:val="24"/>
          <w:szCs w:val="24"/>
        </w:rPr>
        <w:t xml:space="preserve"> O e-protocolo da plataforma da CRC poderá ser utilizado para fins de requerimento de retificação de registro, hipótese na qual o oficial que receber a documentação deverá certificar que recebeu os documentos originais e que </w:t>
      </w:r>
      <w:r w:rsidR="001A47DC" w:rsidRPr="009D6CBE">
        <w:rPr>
          <w:rFonts w:ascii="Times" w:hAnsi="Times" w:cs="Times New Roman"/>
          <w:sz w:val="24"/>
          <w:szCs w:val="24"/>
        </w:rPr>
        <w:t>a assinatura do requerimento foi aposta na sua presença.</w:t>
      </w:r>
      <w:r w:rsidRPr="009D6CBE">
        <w:rPr>
          <w:rFonts w:ascii="Times" w:hAnsi="Times" w:cs="Times New Roman"/>
          <w:sz w:val="24"/>
          <w:szCs w:val="24"/>
        </w:rPr>
        <w:t xml:space="preserve"> </w:t>
      </w:r>
    </w:p>
    <w:p w:rsidR="001672D9" w:rsidRDefault="001672D9" w:rsidP="00530F8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5B24" w:rsidRDefault="00530F81" w:rsidP="001672D9">
      <w:pPr>
        <w:jc w:val="both"/>
      </w:pPr>
      <w:r w:rsidRPr="009D6CBE">
        <w:rPr>
          <w:rFonts w:ascii="Times New Roman" w:hAnsi="Times New Roman" w:cs="Times New Roman"/>
          <w:b/>
          <w:i/>
          <w:sz w:val="24"/>
          <w:szCs w:val="24"/>
        </w:rPr>
        <w:t>Entend</w:t>
      </w:r>
      <w:r w:rsidR="00ED0C42" w:rsidRPr="009D6CBE">
        <w:rPr>
          <w:rFonts w:ascii="Times New Roman" w:hAnsi="Times New Roman" w:cs="Times New Roman"/>
          <w:b/>
          <w:i/>
          <w:sz w:val="24"/>
          <w:szCs w:val="24"/>
        </w:rPr>
        <w:t xml:space="preserve">imento firmado a partir do dia </w:t>
      </w:r>
      <w:r w:rsidR="001D6DDF" w:rsidRPr="009D6CBE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9D6CB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1D6DDF" w:rsidRPr="009D6CBE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9D6CBE">
        <w:rPr>
          <w:rFonts w:ascii="Times New Roman" w:hAnsi="Times New Roman" w:cs="Times New Roman"/>
          <w:b/>
          <w:i/>
          <w:sz w:val="24"/>
          <w:szCs w:val="24"/>
        </w:rPr>
        <w:t>/2021 pela Comissão de Enunciados.</w:t>
      </w:r>
      <w:bookmarkStart w:id="3" w:name="_GoBack"/>
      <w:bookmarkEnd w:id="3"/>
    </w:p>
    <w:sectPr w:rsidR="00575B24" w:rsidSect="007D6BC3">
      <w:headerReference w:type="default" r:id="rId10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C3" w:rsidRDefault="007D6BC3" w:rsidP="007D6BC3">
      <w:pPr>
        <w:spacing w:after="0" w:line="240" w:lineRule="auto"/>
      </w:pPr>
      <w:r>
        <w:separator/>
      </w:r>
    </w:p>
  </w:endnote>
  <w:endnote w:type="continuationSeparator" w:id="0">
    <w:p w:rsidR="007D6BC3" w:rsidRDefault="007D6BC3" w:rsidP="007D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C3" w:rsidRDefault="007D6BC3" w:rsidP="007D6BC3">
      <w:pPr>
        <w:spacing w:after="0" w:line="240" w:lineRule="auto"/>
      </w:pPr>
      <w:r>
        <w:separator/>
      </w:r>
    </w:p>
  </w:footnote>
  <w:footnote w:type="continuationSeparator" w:id="0">
    <w:p w:rsidR="007D6BC3" w:rsidRDefault="007D6BC3" w:rsidP="007D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C3" w:rsidRDefault="007D6BC3" w:rsidP="007D6BC3">
    <w:pPr>
      <w:pStyle w:val="Cabealho"/>
    </w:pPr>
    <w:r>
      <w:rPr>
        <w:noProof/>
        <w:sz w:val="8"/>
        <w:lang w:eastAsia="pt-BR"/>
      </w:rPr>
      <w:drawing>
        <wp:anchor distT="360045" distB="0" distL="36195" distR="36195" simplePos="0" relativeHeight="251659264" behindDoc="0" locked="0" layoutInCell="1" allowOverlap="1" wp14:anchorId="52EDB4B9" wp14:editId="043B08CF">
          <wp:simplePos x="0" y="0"/>
          <wp:positionH relativeFrom="column">
            <wp:posOffset>3367405</wp:posOffset>
          </wp:positionH>
          <wp:positionV relativeFrom="paragraph">
            <wp:posOffset>213360</wp:posOffset>
          </wp:positionV>
          <wp:extent cx="2037080" cy="573405"/>
          <wp:effectExtent l="0" t="0" r="127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67CD9A61" wp14:editId="55A86962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9.35pt" o:bullet="t">
        <v:imagedata r:id="rId1" o:title="BD21300_"/>
      </v:shape>
    </w:pict>
  </w:numPicBullet>
  <w:abstractNum w:abstractNumId="0">
    <w:nsid w:val="2BD421DD"/>
    <w:multiLevelType w:val="hybridMultilevel"/>
    <w:tmpl w:val="0136BD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25CF3"/>
    <w:multiLevelType w:val="hybridMultilevel"/>
    <w:tmpl w:val="5EEE449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24"/>
    <w:rsid w:val="00016256"/>
    <w:rsid w:val="00054B76"/>
    <w:rsid w:val="000A0206"/>
    <w:rsid w:val="001672D9"/>
    <w:rsid w:val="00182D2B"/>
    <w:rsid w:val="001A47DC"/>
    <w:rsid w:val="001D6DDF"/>
    <w:rsid w:val="001E7219"/>
    <w:rsid w:val="00337469"/>
    <w:rsid w:val="00455167"/>
    <w:rsid w:val="00472CE8"/>
    <w:rsid w:val="00513993"/>
    <w:rsid w:val="00530F81"/>
    <w:rsid w:val="00575B24"/>
    <w:rsid w:val="00596028"/>
    <w:rsid w:val="00641A74"/>
    <w:rsid w:val="006B56DE"/>
    <w:rsid w:val="006F6442"/>
    <w:rsid w:val="007D6BC3"/>
    <w:rsid w:val="00801FEE"/>
    <w:rsid w:val="00921AA0"/>
    <w:rsid w:val="00971475"/>
    <w:rsid w:val="009D6CBE"/>
    <w:rsid w:val="00B22F34"/>
    <w:rsid w:val="00B35D0C"/>
    <w:rsid w:val="00BC3E57"/>
    <w:rsid w:val="00C277E8"/>
    <w:rsid w:val="00CE0FF1"/>
    <w:rsid w:val="00EA74EE"/>
    <w:rsid w:val="00EB4263"/>
    <w:rsid w:val="00ED0C42"/>
    <w:rsid w:val="00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4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E721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3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3-nfase6">
    <w:name w:val="Medium Grid 3 Accent 6"/>
    <w:basedOn w:val="Tabelanormal"/>
    <w:uiPriority w:val="69"/>
    <w:rsid w:val="00B35D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530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30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7D6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BC3"/>
  </w:style>
  <w:style w:type="paragraph" w:styleId="Rodap">
    <w:name w:val="footer"/>
    <w:basedOn w:val="Normal"/>
    <w:link w:val="RodapChar"/>
    <w:uiPriority w:val="99"/>
    <w:unhideWhenUsed/>
    <w:rsid w:val="007D6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BC3"/>
  </w:style>
  <w:style w:type="paragraph" w:styleId="Textodebalo">
    <w:name w:val="Balloon Text"/>
    <w:basedOn w:val="Normal"/>
    <w:link w:val="TextodebaloChar"/>
    <w:uiPriority w:val="99"/>
    <w:semiHidden/>
    <w:unhideWhenUsed/>
    <w:rsid w:val="007D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4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E721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3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3-nfase6">
    <w:name w:val="Medium Grid 3 Accent 6"/>
    <w:basedOn w:val="Tabelanormal"/>
    <w:uiPriority w:val="69"/>
    <w:rsid w:val="00B35D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530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30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7D6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BC3"/>
  </w:style>
  <w:style w:type="paragraph" w:styleId="Rodap">
    <w:name w:val="footer"/>
    <w:basedOn w:val="Normal"/>
    <w:link w:val="RodapChar"/>
    <w:uiPriority w:val="99"/>
    <w:unhideWhenUsed/>
    <w:rsid w:val="007D6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BC3"/>
  </w:style>
  <w:style w:type="paragraph" w:styleId="Textodebalo">
    <w:name w:val="Balloon Text"/>
    <w:basedOn w:val="Normal"/>
    <w:link w:val="TextodebaloChar"/>
    <w:uiPriority w:val="99"/>
    <w:semiHidden/>
    <w:unhideWhenUsed/>
    <w:rsid w:val="007D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07-2010/2010/Lei/L12344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BE3A-B616-405A-8B3C-51EF47F1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1051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Mendes Lima</dc:creator>
  <cp:lastModifiedBy>Luisa</cp:lastModifiedBy>
  <cp:revision>5</cp:revision>
  <dcterms:created xsi:type="dcterms:W3CDTF">2021-08-17T18:10:00Z</dcterms:created>
  <dcterms:modified xsi:type="dcterms:W3CDTF">2022-03-17T14:23:00Z</dcterms:modified>
</cp:coreProperties>
</file>